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Heading1"/>
        <w:spacing w:before="56"/>
        <w:ind w:left="6113"/>
        <w:rPr>
          <w:u w:val="none"/>
        </w:rPr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3"/>
          <w:u w:val="single"/>
        </w:rPr>
        <w:t> </w:t>
      </w:r>
      <w:r>
        <w:rPr>
          <w:u w:val="single"/>
        </w:rPr>
        <w:t>7239/2022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273" w:lineRule="auto" w:before="56"/>
        <w:ind w:left="101" w:right="956"/>
      </w:pPr>
      <w:r>
        <w:rPr/>
        <w:t>El Expediente</w:t>
      </w:r>
      <w:r>
        <w:rPr>
          <w:spacing w:val="1"/>
        </w:rPr>
        <w:t> </w:t>
      </w:r>
      <w:r>
        <w:rPr/>
        <w:t>2022-000195/I1-GC, caratulado: DIRECCIÓN TESORERÍA GENERAL -PROYECTO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ORDENANZA- INVERSIÓN; </w:t>
      </w:r>
      <w:r>
        <w:rPr>
          <w:spacing w:val="1"/>
        </w:rPr>
        <w:t> </w:t>
      </w:r>
      <w:r>
        <w:rPr/>
        <w:t>y</w:t>
      </w: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CONSIDERANDO</w:t>
      </w:r>
      <w:r>
        <w:rPr>
          <w:u w:val="none"/>
        </w:rPr>
        <w:t>: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76" w:lineRule="auto" w:before="1"/>
        <w:ind w:left="101" w:right="858"/>
        <w:jc w:val="both"/>
      </w:pPr>
      <w:r>
        <w:rPr/>
        <w:t>Que mediante Ordenanza N° 5539/2008 se autoriza al Director de Tesorería General Municipal</w:t>
      </w:r>
      <w:r>
        <w:rPr>
          <w:spacing w:val="1"/>
        </w:rPr>
        <w:t> </w:t>
      </w:r>
      <w:r>
        <w:rPr/>
        <w:t>a invertir los remanentes transitorios de fondos del Tesoro, en instrumentos de bajo riesgo</w:t>
      </w:r>
      <w:r>
        <w:rPr>
          <w:spacing w:val="49"/>
        </w:rPr>
        <w:t> </w:t>
      </w:r>
      <w:r>
        <w:rPr/>
        <w:t>y</w:t>
      </w:r>
      <w:r>
        <w:rPr>
          <w:spacing w:val="1"/>
        </w:rPr>
        <w:t> </w:t>
      </w:r>
      <w:r>
        <w:rPr/>
        <w:t>en entidades financieras o bancarias de reconocida trayectoria, al solo efecto de preservar el</w:t>
      </w:r>
      <w:r>
        <w:rPr>
          <w:spacing w:val="1"/>
        </w:rPr>
        <w:t> </w:t>
      </w:r>
      <w:r>
        <w:rPr/>
        <w:t>valor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constante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moneda.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01" w:right="858"/>
        <w:jc w:val="both"/>
      </w:pP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6673/17</w:t>
      </w:r>
      <w:r>
        <w:rPr>
          <w:spacing w:val="1"/>
        </w:rPr>
        <w:t> </w:t>
      </w:r>
      <w:r>
        <w:rPr/>
        <w:t>modificatoria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5539/2008,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mencionadas,</w:t>
      </w:r>
      <w:r>
        <w:rPr>
          <w:spacing w:val="-3"/>
        </w:rPr>
        <w:t> </w:t>
      </w:r>
      <w:r>
        <w:rPr/>
        <w:t>a plazos</w:t>
      </w:r>
      <w:r>
        <w:rPr>
          <w:spacing w:val="-2"/>
        </w:rPr>
        <w:t> </w:t>
      </w:r>
      <w:r>
        <w:rPr/>
        <w:t>fijos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Fondos</w:t>
      </w:r>
      <w:r>
        <w:rPr>
          <w:spacing w:val="-2"/>
        </w:rPr>
        <w:t> </w:t>
      </w:r>
      <w:r>
        <w:rPr/>
        <w:t>Comunes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liquidez  permanente.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1" w:right="858"/>
        <w:jc w:val="both"/>
      </w:pPr>
      <w:r>
        <w:rPr/>
        <w:t>Que con el fin de otorgar mayor dinamismo y operatividad con las entidades financieras, a</w:t>
      </w:r>
      <w:r>
        <w:rPr>
          <w:spacing w:val="1"/>
        </w:rPr>
        <w:t> </w:t>
      </w:r>
      <w:r>
        <w:rPr/>
        <w:t>través de la Ordenanza N° 7164/2021, se modificó el Artículo 3° del Ord. 5539/2008, mediante</w:t>
      </w:r>
      <w:r>
        <w:rPr>
          <w:spacing w:val="1"/>
        </w:rPr>
        <w:t> </w:t>
      </w:r>
      <w:r>
        <w:rPr/>
        <w:t>la cual se adicionó como herramienta de compulsa, a las “nuevas herramientas tecnológicas”</w:t>
      </w:r>
      <w:r>
        <w:rPr>
          <w:spacing w:val="1"/>
        </w:rPr>
        <w:t> </w:t>
      </w:r>
      <w:r>
        <w:rPr/>
        <w:t>tales</w:t>
      </w:r>
      <w:r>
        <w:rPr>
          <w:spacing w:val="-6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y/o</w:t>
      </w:r>
      <w:r>
        <w:rPr>
          <w:spacing w:val="-1"/>
        </w:rPr>
        <w:t> </w:t>
      </w:r>
      <w:r>
        <w:rPr/>
        <w:t>páginas</w:t>
      </w:r>
      <w:r>
        <w:rPr>
          <w:spacing w:val="-1"/>
        </w:rPr>
        <w:t> </w:t>
      </w:r>
      <w:r>
        <w:rPr/>
        <w:t>oficiales.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 w:before="1"/>
        <w:ind w:left="101" w:right="859"/>
        <w:jc w:val="both"/>
      </w:pPr>
      <w:r>
        <w:rPr/>
        <w:t>Que las herramientas tradicionales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pensadas y</w:t>
      </w:r>
      <w:r>
        <w:rPr>
          <w:spacing w:val="1"/>
        </w:rPr>
        <w:t> </w:t>
      </w:r>
      <w:r>
        <w:rPr/>
        <w:t>utilizadas,</w:t>
      </w:r>
      <w:r>
        <w:rPr>
          <w:spacing w:val="1"/>
        </w:rPr>
        <w:t> </w:t>
      </w:r>
      <w:r>
        <w:rPr/>
        <w:t>resultan escasas e</w:t>
      </w:r>
      <w:r>
        <w:rPr>
          <w:spacing w:val="1"/>
        </w:rPr>
        <w:t> </w:t>
      </w:r>
      <w:r>
        <w:rPr/>
        <w:t>insuficientes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eficientemente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escenarios</w:t>
      </w:r>
      <w:r>
        <w:rPr>
          <w:spacing w:val="1"/>
        </w:rPr>
        <w:t> </w:t>
      </w:r>
      <w:r>
        <w:rPr/>
        <w:t>recurrentes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inestabilidad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inflación</w:t>
      </w:r>
      <w:r>
        <w:rPr>
          <w:spacing w:val="-1"/>
        </w:rPr>
        <w:t> </w:t>
      </w:r>
      <w:r>
        <w:rPr/>
        <w:t>constante.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1" w:right="856"/>
        <w:jc w:val="both"/>
      </w:pPr>
      <w:r>
        <w:rPr/>
        <w:t>Que los fondos Comunes de Inversión (“FCI”) son vehículos de Inversión que se encuentran</w:t>
      </w:r>
      <w:r>
        <w:rPr>
          <w:spacing w:val="1"/>
        </w:rPr>
        <w:t> </w:t>
      </w:r>
      <w:r>
        <w:rPr/>
        <w:t>administrado por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Gerentes 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Comunes de</w:t>
      </w:r>
      <w:r>
        <w:rPr>
          <w:spacing w:val="1"/>
        </w:rPr>
        <w:t> </w:t>
      </w:r>
      <w:r>
        <w:rPr/>
        <w:t>Inversión (SGFCI),</w:t>
      </w:r>
      <w:r>
        <w:rPr>
          <w:spacing w:val="49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por la Comisión Nacional de Valores, los cuales pueden ser de renta fija o variable, en pesos o</w:t>
      </w:r>
      <w:r>
        <w:rPr>
          <w:spacing w:val="1"/>
        </w:rPr>
        <w:t> </w:t>
      </w:r>
      <w:r>
        <w:rPr/>
        <w:t>en dólares, poseer distintos horizontes de inversión y niveles de riesgo, pudiendo acceder a los</w:t>
      </w:r>
      <w:r>
        <w:rPr>
          <w:spacing w:val="-47"/>
        </w:rPr>
        <w:t> </w:t>
      </w:r>
      <w:r>
        <w:rPr/>
        <w:t>mismos mediante la apertura de cuenta en SGFI o bien, a través de Agentes de Colocación y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(ACDI).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1" w:right="858"/>
        <w:jc w:val="both"/>
      </w:pPr>
      <w:r>
        <w:rPr/>
        <w:t>Que,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resulta,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como ALC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ACDI,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devenguen</w:t>
      </w:r>
      <w:r>
        <w:rPr>
          <w:spacing w:val="-3"/>
        </w:rPr>
        <w:t> </w:t>
      </w:r>
      <w:r>
        <w:rPr/>
        <w:t>costos de</w:t>
      </w:r>
      <w:r>
        <w:rPr>
          <w:spacing w:val="-2"/>
        </w:rPr>
        <w:t> </w:t>
      </w:r>
      <w:r>
        <w:rPr/>
        <w:t>mantenimientos.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01" w:right="856"/>
        <w:jc w:val="both"/>
      </w:pPr>
      <w:r>
        <w:rPr/>
        <w:t>Que para ello, procurando garantizar la mayor seguridad posible en las operatorias, se estima</w:t>
      </w:r>
      <w:r>
        <w:rPr>
          <w:spacing w:val="1"/>
        </w:rPr>
        <w:t> </w:t>
      </w:r>
      <w:r>
        <w:rPr/>
        <w:t>necesario que las entidades depositarias de fondos comunes de inversión, sean entidades de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trayectoria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inversiones.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1600" w:right="840"/>
          <w:pgNumType w:start="1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6" w:lineRule="auto" w:before="57"/>
        <w:ind w:left="101" w:right="849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1266/2021,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reglamentar el Art. 58 inc. j. de la Ley 8706,</w:t>
      </w:r>
      <w:r>
        <w:rPr>
          <w:spacing w:val="1"/>
        </w:rPr>
        <w:t> </w:t>
      </w:r>
      <w:r>
        <w:rPr/>
        <w:t>creando un procedimiento de gestión y colocación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remanentes</w:t>
      </w:r>
      <w:r>
        <w:rPr>
          <w:spacing w:val="-3"/>
        </w:rPr>
        <w:t> </w:t>
      </w:r>
      <w:r>
        <w:rPr/>
        <w:t>de fondos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tesoro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preservar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y constante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1" w:right="856"/>
        <w:jc w:val="both"/>
      </w:pPr>
      <w:r>
        <w:rPr/>
        <w:t>Dicha Ley resulta ser la normativa vigente reguladora de procedimientos que hacen posible la</w:t>
      </w:r>
      <w:r>
        <w:rPr>
          <w:spacing w:val="1"/>
        </w:rPr>
        <w:t> </w:t>
      </w:r>
      <w:r>
        <w:rPr/>
        <w:t>coordinación de recursos financieros y bienes económicos aplicados al cumplimiento de los</w:t>
      </w:r>
      <w:r>
        <w:rPr>
          <w:spacing w:val="1"/>
        </w:rPr>
        <w:t> </w:t>
      </w:r>
      <w:r>
        <w:rPr/>
        <w:t>objetivos del Estado, marco jurídico aplicable al ámbito Municipal, por lo que corresponde</w:t>
      </w:r>
      <w:r>
        <w:rPr>
          <w:spacing w:val="1"/>
        </w:rPr>
        <w:t> </w:t>
      </w:r>
      <w:r>
        <w:rPr/>
        <w:t>adecuar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maximizar</w:t>
      </w:r>
      <w:r>
        <w:rPr>
          <w:spacing w:val="-3"/>
        </w:rPr>
        <w:t> </w:t>
      </w:r>
      <w:r>
        <w:rPr/>
        <w:t>la preservación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1" w:right="857"/>
        <w:jc w:val="both"/>
      </w:pPr>
      <w:r>
        <w:rPr/>
        <w:t>Que es facultad de este Honorable Concejo Deliberante y obligación del Intendente Ley 1079</w:t>
      </w:r>
      <w:r>
        <w:rPr>
          <w:spacing w:val="1"/>
        </w:rPr>
        <w:t> </w:t>
      </w:r>
      <w:r>
        <w:rPr/>
        <w:t>Art. 108° inc. 4), 8); 131° y</w:t>
      </w:r>
      <w:r>
        <w:rPr>
          <w:spacing w:val="49"/>
        </w:rPr>
        <w:t> </w:t>
      </w:r>
      <w:r>
        <w:rPr/>
        <w:t>ccs. procurar una administración de los recursos diligente, por lo</w:t>
      </w:r>
      <w:r>
        <w:rPr>
          <w:spacing w:val="1"/>
        </w:rPr>
        <w:t> </w:t>
      </w:r>
      <w:r>
        <w:rPr/>
        <w:t>que resulta necesario la creación de normas y procedimientos, para una correcta y eficiente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escenarios</w:t>
      </w:r>
      <w:r>
        <w:rPr>
          <w:spacing w:val="1"/>
        </w:rPr>
        <w:t> </w:t>
      </w:r>
      <w:r>
        <w:rPr/>
        <w:t>inflacionarios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inestabilidad</w:t>
      </w:r>
      <w:r>
        <w:rPr>
          <w:spacing w:val="-5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atraviesa</w:t>
      </w:r>
      <w:r>
        <w:rPr>
          <w:spacing w:val="-4"/>
        </w:rPr>
        <w:t> </w:t>
      </w:r>
      <w:r>
        <w:rPr/>
        <w:t>histórica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cíclicamente</w:t>
      </w:r>
      <w:r>
        <w:rPr>
          <w:spacing w:val="-3"/>
        </w:rPr>
        <w:t> </w:t>
      </w:r>
      <w:r>
        <w:rPr/>
        <w:t>nuestro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"/>
        <w:jc w:val="both"/>
        <w:rPr>
          <w:u w:val="none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4"/>
        <w:rPr>
          <w:b/>
          <w:sz w:val="18"/>
        </w:rPr>
      </w:pPr>
    </w:p>
    <w:p>
      <w:pPr>
        <w:spacing w:line="489" w:lineRule="auto" w:before="57"/>
        <w:ind w:left="3953" w:right="2472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line="276" w:lineRule="auto" w:before="1"/>
        <w:ind w:left="101" w:right="858"/>
        <w:jc w:val="both"/>
      </w:pPr>
      <w:r>
        <w:rPr>
          <w:b/>
          <w:color w:val="111111"/>
        </w:rPr>
        <w:t>Artículo 1: </w:t>
      </w:r>
      <w:r>
        <w:rPr>
          <w:color w:val="111111"/>
        </w:rPr>
        <w:t>Créase el procedimiento para la gestión e inversión de remanentes transitorios de</w:t>
      </w:r>
      <w:r>
        <w:rPr>
          <w:color w:val="111111"/>
          <w:spacing w:val="1"/>
        </w:rPr>
        <w:t> </w:t>
      </w:r>
      <w:r>
        <w:rPr>
          <w:color w:val="111111"/>
        </w:rPr>
        <w:t>fondos del tesoro, en instrumentos de inversión de riesgo razonablemente bajo, que permitan</w:t>
      </w:r>
      <w:r>
        <w:rPr>
          <w:color w:val="111111"/>
          <w:spacing w:val="1"/>
        </w:rPr>
        <w:t> </w:t>
      </w:r>
      <w:r>
        <w:rPr>
          <w:color w:val="111111"/>
        </w:rPr>
        <w:t>una eficaz y eficiente administración de los fondos públicos, con el objeto de preservar el valor</w:t>
      </w:r>
      <w:r>
        <w:rPr>
          <w:color w:val="111111"/>
          <w:spacing w:val="1"/>
        </w:rPr>
        <w:t> </w:t>
      </w:r>
      <w:r>
        <w:rPr>
          <w:color w:val="111111"/>
        </w:rPr>
        <w:t>real</w:t>
      </w:r>
      <w:r>
        <w:rPr>
          <w:color w:val="111111"/>
          <w:spacing w:val="-4"/>
        </w:rPr>
        <w:t> </w:t>
      </w:r>
      <w:r>
        <w:rPr>
          <w:color w:val="111111"/>
        </w:rPr>
        <w:t>y</w:t>
      </w:r>
      <w:r>
        <w:rPr>
          <w:color w:val="111111"/>
          <w:spacing w:val="-1"/>
        </w:rPr>
        <w:t> </w:t>
      </w:r>
      <w:r>
        <w:rPr>
          <w:color w:val="111111"/>
        </w:rPr>
        <w:t>constante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-2"/>
        </w:rPr>
        <w:t> </w:t>
      </w:r>
      <w:r>
        <w:rPr>
          <w:color w:val="111111"/>
        </w:rPr>
        <w:t>moneda.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01" w:right="858" w:firstLine="48"/>
        <w:jc w:val="both"/>
      </w:pPr>
      <w:r>
        <w:rPr>
          <w:b/>
          <w:color w:val="111111"/>
        </w:rPr>
        <w:t>Artículo 2: </w:t>
      </w:r>
      <w:r>
        <w:rPr>
          <w:color w:val="111111"/>
        </w:rPr>
        <w:t>Los remanentes alcanzados por las disposiciones de la presente ordenanza, serán</w:t>
      </w:r>
      <w:r>
        <w:rPr>
          <w:color w:val="111111"/>
          <w:spacing w:val="1"/>
        </w:rPr>
        <w:t> </w:t>
      </w:r>
      <w:r>
        <w:rPr>
          <w:color w:val="111111"/>
        </w:rPr>
        <w:t>aquellos fondos, que pertenezcan a las cuentas oficiales propias de la Municipalidad de Godoy</w:t>
      </w:r>
      <w:r>
        <w:rPr>
          <w:color w:val="111111"/>
          <w:spacing w:val="1"/>
        </w:rPr>
        <w:t> </w:t>
      </w:r>
      <w:r>
        <w:rPr>
          <w:color w:val="111111"/>
        </w:rPr>
        <w:t>Cruz </w:t>
      </w:r>
      <w:r>
        <w:rPr/>
        <w:t>y cualquier otro de propiedad del Municipio, que sin encontrarse en las cuentas oficiales,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hallen</w:t>
      </w:r>
      <w:r>
        <w:rPr>
          <w:spacing w:val="-3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 General Municipal.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3" w:lineRule="auto"/>
        <w:ind w:left="101" w:right="857" w:firstLine="48"/>
        <w:jc w:val="both"/>
      </w:pPr>
      <w:r>
        <w:rPr>
          <w:b/>
          <w:color w:val="111111"/>
        </w:rPr>
        <w:t>Artículo 3:</w:t>
      </w:r>
      <w:r>
        <w:rPr>
          <w:b/>
          <w:color w:val="111111"/>
          <w:spacing w:val="1"/>
        </w:rPr>
        <w:t> </w:t>
      </w:r>
      <w:r>
        <w:rPr>
          <w:color w:val="111111"/>
        </w:rPr>
        <w:t>Se consideran inversiones de posible elección</w:t>
      </w:r>
      <w:r>
        <w:rPr>
          <w:color w:val="111111"/>
          <w:spacing w:val="49"/>
        </w:rPr>
        <w:t> </w:t>
      </w:r>
      <w:r>
        <w:rPr>
          <w:color w:val="111111"/>
        </w:rPr>
        <w:t>y colocación, para el cumplimiento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-3"/>
        </w:rPr>
        <w:t> </w:t>
      </w:r>
      <w:r>
        <w:rPr>
          <w:color w:val="111111"/>
        </w:rPr>
        <w:t>lo</w:t>
      </w:r>
      <w:r>
        <w:rPr>
          <w:color w:val="111111"/>
          <w:spacing w:val="-1"/>
        </w:rPr>
        <w:t> </w:t>
      </w:r>
      <w:r>
        <w:rPr>
          <w:color w:val="111111"/>
        </w:rPr>
        <w:t>dispuesto</w:t>
      </w:r>
      <w:r>
        <w:rPr>
          <w:color w:val="111111"/>
          <w:spacing w:val="-1"/>
        </w:rPr>
        <w:t> </w:t>
      </w:r>
      <w:r>
        <w:rPr>
          <w:color w:val="111111"/>
        </w:rPr>
        <w:t>por</w:t>
      </w:r>
      <w:r>
        <w:rPr>
          <w:color w:val="111111"/>
          <w:spacing w:val="-2"/>
        </w:rPr>
        <w:t> </w:t>
      </w:r>
      <w:r>
        <w:rPr>
          <w:color w:val="111111"/>
        </w:rPr>
        <w:t>el</w:t>
      </w:r>
      <w:r>
        <w:rPr>
          <w:color w:val="111111"/>
          <w:spacing w:val="-3"/>
        </w:rPr>
        <w:t> </w:t>
      </w:r>
      <w:r>
        <w:rPr>
          <w:color w:val="111111"/>
        </w:rPr>
        <w:t>Artículo</w:t>
      </w:r>
      <w:r>
        <w:rPr>
          <w:color w:val="111111"/>
          <w:spacing w:val="-1"/>
        </w:rPr>
        <w:t> </w:t>
      </w:r>
      <w:r>
        <w:rPr>
          <w:color w:val="111111"/>
        </w:rPr>
        <w:t>1</w:t>
      </w:r>
      <w:r>
        <w:rPr>
          <w:color w:val="111111"/>
          <w:spacing w:val="-1"/>
        </w:rPr>
        <w:t> </w:t>
      </w:r>
      <w:r>
        <w:rPr>
          <w:color w:val="111111"/>
        </w:rPr>
        <w:t>a las siguientes: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76" w:lineRule="auto" w:before="0" w:after="0"/>
        <w:ind w:left="101" w:right="856" w:firstLine="48"/>
        <w:jc w:val="both"/>
        <w:rPr>
          <w:sz w:val="22"/>
        </w:rPr>
      </w:pPr>
      <w:r>
        <w:rPr>
          <w:color w:val="111111"/>
          <w:sz w:val="22"/>
        </w:rPr>
        <w:t>Plazos Fijos y/o Cuentas Remuneradas en entidades financieras de reconocida trayectoria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reguladas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B.C.R.A.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76" w:lineRule="auto" w:before="0" w:after="0"/>
        <w:ind w:left="101" w:right="859" w:firstLine="0"/>
        <w:jc w:val="both"/>
        <w:rPr>
          <w:sz w:val="22"/>
        </w:rPr>
      </w:pPr>
      <w:r>
        <w:rPr>
          <w:color w:val="111111"/>
          <w:sz w:val="22"/>
        </w:rPr>
        <w:t>Fondos Comunes de Inversión de renta fija y riesgo acotado, administrados por Sociedades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Gerentes</w:t>
      </w:r>
      <w:r>
        <w:rPr>
          <w:color w:val="111111"/>
          <w:spacing w:val="-6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Fondos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Comunes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Inversión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reguladas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la CNV.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3" w:lineRule="auto" w:before="1" w:after="0"/>
        <w:ind w:left="101" w:right="859" w:firstLine="0"/>
        <w:jc w:val="both"/>
        <w:rPr>
          <w:sz w:val="22"/>
        </w:rPr>
      </w:pPr>
      <w:r>
        <w:rPr>
          <w:color w:val="111111"/>
          <w:sz w:val="22"/>
        </w:rPr>
        <w:t>Títulos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públicos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Letras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Tesorería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emitidos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sector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público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u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Obligaciones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Negociables.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1140" w:footer="1000" w:top="1660" w:bottom="1200" w:left="1600" w:right="84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auto" w:before="57" w:after="0"/>
        <w:ind w:left="101" w:right="856" w:firstLine="0"/>
        <w:jc w:val="both"/>
        <w:rPr>
          <w:sz w:val="22"/>
        </w:rPr>
      </w:pPr>
      <w:r>
        <w:rPr>
          <w:color w:val="111111"/>
          <w:sz w:val="22"/>
        </w:rPr>
        <w:t>Cualquier otro instrumento de mercado siempre que estos sean de corto plazo o presenten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una liquidez diaria promedio superior al tamaño de la inversión que se pretende y que cuenten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con una calificación de riesgo en escala local equivalente a A – o superior. Regirán para 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instrumentos del presente inciso, los procedimientos relativos a los instrumentos del inciso c)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del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presente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3" w:lineRule="auto"/>
        <w:ind w:left="101" w:right="859" w:firstLine="48"/>
        <w:jc w:val="both"/>
      </w:pPr>
      <w:r>
        <w:rPr>
          <w:b/>
          <w:color w:val="111111"/>
        </w:rPr>
        <w:t>Artículo 4: </w:t>
      </w:r>
      <w:r>
        <w:rPr>
          <w:color w:val="111111"/>
        </w:rPr>
        <w:t>Será competente para la determinación de la existencia, gestión y colocación de</w:t>
      </w:r>
      <w:r>
        <w:rPr>
          <w:color w:val="111111"/>
          <w:spacing w:val="1"/>
        </w:rPr>
        <w:t> </w:t>
      </w:r>
      <w:r>
        <w:rPr>
          <w:color w:val="111111"/>
        </w:rPr>
        <w:t>remanentes</w:t>
      </w:r>
      <w:r>
        <w:rPr>
          <w:color w:val="111111"/>
          <w:spacing w:val="-4"/>
        </w:rPr>
        <w:t> </w:t>
      </w:r>
      <w:r>
        <w:rPr>
          <w:color w:val="111111"/>
        </w:rPr>
        <w:t>transitorios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-4"/>
        </w:rPr>
        <w:t> </w:t>
      </w:r>
      <w:r>
        <w:rPr>
          <w:color w:val="111111"/>
        </w:rPr>
        <w:t>fondos</w:t>
      </w:r>
      <w:r>
        <w:rPr>
          <w:color w:val="111111"/>
          <w:spacing w:val="-2"/>
        </w:rPr>
        <w:t> </w:t>
      </w:r>
      <w:r>
        <w:rPr>
          <w:color w:val="111111"/>
        </w:rPr>
        <w:t>del</w:t>
      </w:r>
      <w:r>
        <w:rPr>
          <w:color w:val="111111"/>
          <w:spacing w:val="-5"/>
        </w:rPr>
        <w:t> </w:t>
      </w:r>
      <w:r>
        <w:rPr>
          <w:color w:val="111111"/>
        </w:rPr>
        <w:t>tesoro,</w:t>
      </w:r>
      <w:r>
        <w:rPr>
          <w:color w:val="111111"/>
          <w:spacing w:val="-2"/>
        </w:rPr>
        <w:t> </w:t>
      </w:r>
      <w:r>
        <w:rPr>
          <w:color w:val="111111"/>
        </w:rPr>
        <w:t>el/la</w:t>
      </w:r>
      <w:r>
        <w:rPr>
          <w:color w:val="111111"/>
          <w:spacing w:val="-4"/>
        </w:rPr>
        <w:t> </w:t>
      </w:r>
      <w:r>
        <w:rPr>
          <w:color w:val="111111"/>
        </w:rPr>
        <w:t>Directora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-4"/>
        </w:rPr>
        <w:t> </w:t>
      </w:r>
      <w:r>
        <w:rPr>
          <w:color w:val="111111"/>
        </w:rPr>
        <w:t>Tesorería</w:t>
      </w:r>
      <w:r>
        <w:rPr>
          <w:color w:val="111111"/>
          <w:spacing w:val="-2"/>
        </w:rPr>
        <w:t> </w:t>
      </w:r>
      <w:r>
        <w:rPr>
          <w:color w:val="111111"/>
        </w:rPr>
        <w:t>General</w:t>
      </w:r>
      <w:r>
        <w:rPr>
          <w:color w:val="111111"/>
          <w:spacing w:val="-4"/>
        </w:rPr>
        <w:t> </w:t>
      </w:r>
      <w:r>
        <w:rPr>
          <w:color w:val="111111"/>
        </w:rPr>
        <w:t>Municipal.</w:t>
      </w:r>
    </w:p>
    <w:p>
      <w:pPr>
        <w:pStyle w:val="BodyText"/>
        <w:rPr>
          <w:sz w:val="20"/>
        </w:rPr>
      </w:pPr>
    </w:p>
    <w:p>
      <w:pPr>
        <w:pStyle w:val="BodyText"/>
        <w:spacing w:line="273" w:lineRule="auto" w:before="1"/>
        <w:ind w:left="101" w:right="858"/>
        <w:jc w:val="both"/>
      </w:pPr>
      <w:r>
        <w:rPr>
          <w:color w:val="111111"/>
        </w:rPr>
        <w:t>En caso de tratarse de inversiones contempladas en los incisos c y d del artículo tres del</w:t>
      </w:r>
      <w:r>
        <w:rPr>
          <w:color w:val="111111"/>
          <w:spacing w:val="1"/>
        </w:rPr>
        <w:t> </w:t>
      </w:r>
      <w:r>
        <w:rPr>
          <w:color w:val="111111"/>
        </w:rPr>
        <w:t>presente,</w:t>
      </w:r>
      <w:r>
        <w:rPr>
          <w:color w:val="111111"/>
          <w:spacing w:val="-3"/>
        </w:rPr>
        <w:t> </w:t>
      </w:r>
      <w:r>
        <w:rPr>
          <w:color w:val="111111"/>
        </w:rPr>
        <w:t>se</w:t>
      </w:r>
      <w:r>
        <w:rPr>
          <w:color w:val="111111"/>
          <w:spacing w:val="-2"/>
        </w:rPr>
        <w:t> </w:t>
      </w:r>
      <w:r>
        <w:rPr>
          <w:color w:val="111111"/>
        </w:rPr>
        <w:t>deberá</w:t>
      </w:r>
      <w:r>
        <w:rPr>
          <w:color w:val="111111"/>
          <w:spacing w:val="-1"/>
        </w:rPr>
        <w:t> </w:t>
      </w:r>
      <w:r>
        <w:rPr>
          <w:color w:val="111111"/>
        </w:rPr>
        <w:t>contar</w:t>
      </w:r>
      <w:r>
        <w:rPr>
          <w:color w:val="111111"/>
          <w:spacing w:val="-2"/>
        </w:rPr>
        <w:t> </w:t>
      </w:r>
      <w:r>
        <w:rPr>
          <w:color w:val="111111"/>
        </w:rPr>
        <w:t>con</w:t>
      </w:r>
      <w:r>
        <w:rPr>
          <w:color w:val="111111"/>
          <w:spacing w:val="-1"/>
        </w:rPr>
        <w:t> </w:t>
      </w:r>
      <w:r>
        <w:rPr>
          <w:color w:val="111111"/>
        </w:rPr>
        <w:t>la</w:t>
      </w:r>
      <w:r>
        <w:rPr>
          <w:color w:val="111111"/>
          <w:spacing w:val="-3"/>
        </w:rPr>
        <w:t> </w:t>
      </w:r>
      <w:r>
        <w:rPr>
          <w:color w:val="111111"/>
        </w:rPr>
        <w:t>autorización</w:t>
      </w:r>
      <w:r>
        <w:rPr>
          <w:color w:val="111111"/>
          <w:spacing w:val="-3"/>
        </w:rPr>
        <w:t> </w:t>
      </w:r>
      <w:r>
        <w:rPr>
          <w:color w:val="111111"/>
        </w:rPr>
        <w:t>previa</w:t>
      </w:r>
      <w:r>
        <w:rPr>
          <w:color w:val="111111"/>
          <w:spacing w:val="-2"/>
        </w:rPr>
        <w:t> </w:t>
      </w:r>
      <w:r>
        <w:rPr>
          <w:color w:val="111111"/>
        </w:rPr>
        <w:t>de la Secretaria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-3"/>
        </w:rPr>
        <w:t> </w:t>
      </w:r>
      <w:r>
        <w:rPr>
          <w:color w:val="111111"/>
        </w:rPr>
        <w:t>Hacienda.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101" w:right="857" w:firstLine="48"/>
        <w:jc w:val="both"/>
      </w:pPr>
      <w:r>
        <w:rPr>
          <w:b/>
          <w:color w:val="111111"/>
        </w:rPr>
        <w:t>Artículo 5:</w:t>
      </w:r>
      <w:r>
        <w:rPr>
          <w:b/>
          <w:color w:val="111111"/>
          <w:spacing w:val="1"/>
        </w:rPr>
        <w:t> </w:t>
      </w:r>
      <w:r>
        <w:rPr>
          <w:color w:val="111111"/>
        </w:rPr>
        <w:t>A los efectos de proceder a la inversión de fondos en el marco de la presente</w:t>
      </w:r>
      <w:r>
        <w:rPr>
          <w:color w:val="111111"/>
          <w:spacing w:val="1"/>
        </w:rPr>
        <w:t> </w:t>
      </w:r>
      <w:r>
        <w:rPr>
          <w:color w:val="111111"/>
        </w:rPr>
        <w:t>ordenanza, se deberán cumplir con los siguientes requisitos y procedimientos, según el tipo de</w:t>
      </w:r>
      <w:r>
        <w:rPr>
          <w:color w:val="111111"/>
          <w:spacing w:val="1"/>
        </w:rPr>
        <w:t> </w:t>
      </w:r>
      <w:r>
        <w:rPr>
          <w:color w:val="111111"/>
        </w:rPr>
        <w:t>instrumento</w:t>
      </w:r>
      <w:r>
        <w:rPr>
          <w:color w:val="111111"/>
          <w:spacing w:val="-4"/>
        </w:rPr>
        <w:t> </w:t>
      </w:r>
      <w:r>
        <w:rPr>
          <w:color w:val="111111"/>
        </w:rPr>
        <w:t>y/o</w:t>
      </w:r>
      <w:r>
        <w:rPr>
          <w:color w:val="111111"/>
          <w:spacing w:val="-1"/>
        </w:rPr>
        <w:t> </w:t>
      </w:r>
      <w:r>
        <w:rPr>
          <w:color w:val="111111"/>
        </w:rPr>
        <w:t>tipo</w:t>
      </w:r>
      <w:r>
        <w:rPr>
          <w:color w:val="111111"/>
          <w:spacing w:val="-1"/>
        </w:rPr>
        <w:t> </w:t>
      </w:r>
      <w:r>
        <w:rPr>
          <w:color w:val="111111"/>
        </w:rPr>
        <w:t>de</w:t>
      </w:r>
      <w:r>
        <w:rPr>
          <w:color w:val="111111"/>
          <w:spacing w:val="-2"/>
        </w:rPr>
        <w:t> </w:t>
      </w:r>
      <w:r>
        <w:rPr>
          <w:color w:val="111111"/>
        </w:rPr>
        <w:t>inversión</w:t>
      </w:r>
      <w:r>
        <w:rPr>
          <w:color w:val="111111"/>
          <w:spacing w:val="-1"/>
        </w:rPr>
        <w:t> </w:t>
      </w:r>
      <w:r>
        <w:rPr>
          <w:color w:val="111111"/>
        </w:rPr>
        <w:t>que</w:t>
      </w:r>
      <w:r>
        <w:rPr>
          <w:color w:val="111111"/>
          <w:spacing w:val="-2"/>
        </w:rPr>
        <w:t> </w:t>
      </w:r>
      <w:r>
        <w:rPr>
          <w:color w:val="111111"/>
        </w:rPr>
        <w:t>corresponda: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510" w:val="left" w:leader="none"/>
        </w:tabs>
        <w:spacing w:line="240" w:lineRule="auto" w:before="0" w:after="0"/>
        <w:ind w:left="509" w:right="0" w:hanging="361"/>
        <w:jc w:val="both"/>
        <w:rPr>
          <w:u w:val="none"/>
        </w:rPr>
      </w:pPr>
      <w:r>
        <w:rPr>
          <w:color w:val="111111"/>
          <w:u w:val="single" w:color="111111"/>
        </w:rPr>
        <w:t>Plazos</w:t>
      </w:r>
      <w:r>
        <w:rPr>
          <w:color w:val="111111"/>
          <w:spacing w:val="-5"/>
          <w:u w:val="single" w:color="111111"/>
        </w:rPr>
        <w:t> </w:t>
      </w:r>
      <w:r>
        <w:rPr>
          <w:color w:val="111111"/>
          <w:u w:val="single" w:color="111111"/>
        </w:rPr>
        <w:t>Fijos</w:t>
      </w:r>
      <w:r>
        <w:rPr>
          <w:color w:val="111111"/>
          <w:spacing w:val="-4"/>
          <w:u w:val="single" w:color="111111"/>
        </w:rPr>
        <w:t> </w:t>
      </w:r>
      <w:r>
        <w:rPr>
          <w:color w:val="111111"/>
          <w:u w:val="single" w:color="111111"/>
        </w:rPr>
        <w:t>y</w:t>
      </w:r>
      <w:r>
        <w:rPr>
          <w:color w:val="111111"/>
          <w:spacing w:val="-1"/>
          <w:u w:val="single" w:color="111111"/>
        </w:rPr>
        <w:t> </w:t>
      </w:r>
      <w:r>
        <w:rPr>
          <w:color w:val="111111"/>
          <w:u w:val="single" w:color="111111"/>
        </w:rPr>
        <w:t>Cuentas</w:t>
      </w:r>
      <w:r>
        <w:rPr>
          <w:color w:val="111111"/>
          <w:spacing w:val="-4"/>
          <w:u w:val="single" w:color="111111"/>
        </w:rPr>
        <w:t> </w:t>
      </w:r>
      <w:r>
        <w:rPr>
          <w:color w:val="111111"/>
          <w:u w:val="single" w:color="111111"/>
        </w:rPr>
        <w:t>Remuneradas</w:t>
      </w:r>
      <w:r>
        <w:rPr>
          <w:color w:val="111111"/>
          <w:u w:val="none"/>
        </w:rPr>
        <w:t>: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76" w:lineRule="auto" w:before="41" w:after="0"/>
        <w:ind w:left="101" w:right="857" w:firstLine="0"/>
        <w:jc w:val="both"/>
        <w:rPr>
          <w:sz w:val="22"/>
        </w:rPr>
      </w:pPr>
      <w:r>
        <w:rPr>
          <w:color w:val="111111"/>
          <w:sz w:val="22"/>
        </w:rPr>
        <w:t>La selección de las entidades financieras en las cuales se realizarán los depósitos a Plazo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Fijo o Cuentas Remuneradas, se definirá mediante un procedimiento de compulsa de tasa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interés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estará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cargo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Tesorería General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Municipalidad.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76" w:lineRule="auto" w:before="0" w:after="0"/>
        <w:ind w:left="101" w:right="856" w:firstLine="48"/>
        <w:jc w:val="both"/>
        <w:rPr>
          <w:sz w:val="22"/>
        </w:rPr>
      </w:pPr>
      <w:r>
        <w:rPr>
          <w:color w:val="111111"/>
          <w:sz w:val="22"/>
        </w:rPr>
        <w:t>Entidades financieras elegibles: a partir de la entrada en vigencia de la presente ordenanza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y al comienzo de cada ejercicio financiero, la Tesorería General determinara, las entidades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financieras que participarán de las compulsas respectivas. Dichas entidades serán: I) todos 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bancos públicos con sede en la Provincia de Mendoza y II) los primeros 10 bancos privados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enumerados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ranking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publique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B.C.R.A.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aquella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entidad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y/o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ranking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lo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reemplace</w:t>
      </w:r>
      <w:r>
        <w:rPr>
          <w:color w:val="111111"/>
          <w:spacing w:val="-5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el futuro,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con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sede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la Provincia 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Mendoza.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76" w:lineRule="auto" w:before="0" w:after="0"/>
        <w:ind w:left="101" w:right="856" w:firstLine="0"/>
        <w:jc w:val="both"/>
        <w:rPr>
          <w:sz w:val="22"/>
        </w:rPr>
      </w:pPr>
      <w:r>
        <w:rPr>
          <w:color w:val="111111"/>
          <w:sz w:val="22"/>
        </w:rPr>
        <w:t>Una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vez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definidas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entidades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participantes,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cursarán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vía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correo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electrónico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contactos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provistos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dichas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entidades,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una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invitación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para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participar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compulsa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respectiva,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detallando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plazo y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tipo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de producto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el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cual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deberá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compulsar.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68" w:val="left" w:leader="none"/>
        </w:tabs>
        <w:spacing w:line="276" w:lineRule="auto" w:before="0" w:after="0"/>
        <w:ind w:left="101" w:right="858" w:firstLine="0"/>
        <w:jc w:val="both"/>
        <w:rPr>
          <w:sz w:val="22"/>
        </w:rPr>
      </w:pPr>
      <w:r>
        <w:rPr>
          <w:color w:val="111111"/>
          <w:sz w:val="22"/>
        </w:rPr>
        <w:t>Efectuada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compulsa,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priorizarán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aquellas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entidades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hayan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ofrecido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condiciones más convenientes, pudiendo seleccionar una o más entidades. En el supuesto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las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tasas</w:t>
      </w:r>
      <w:r>
        <w:rPr>
          <w:color w:val="111111"/>
          <w:spacing w:val="16"/>
          <w:sz w:val="22"/>
        </w:rPr>
        <w:t> </w:t>
      </w:r>
      <w:r>
        <w:rPr>
          <w:color w:val="111111"/>
          <w:sz w:val="22"/>
        </w:rPr>
        <w:t>sean</w:t>
      </w:r>
      <w:r>
        <w:rPr>
          <w:color w:val="111111"/>
          <w:spacing w:val="14"/>
          <w:sz w:val="22"/>
        </w:rPr>
        <w:t> </w:t>
      </w:r>
      <w:r>
        <w:rPr>
          <w:color w:val="111111"/>
          <w:sz w:val="22"/>
        </w:rPr>
        <w:t>similares,</w:t>
      </w:r>
      <w:r>
        <w:rPr>
          <w:color w:val="111111"/>
          <w:spacing w:val="16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Tesorería</w:t>
      </w:r>
      <w:r>
        <w:rPr>
          <w:color w:val="111111"/>
          <w:spacing w:val="16"/>
          <w:sz w:val="22"/>
        </w:rPr>
        <w:t> </w:t>
      </w:r>
      <w:r>
        <w:rPr>
          <w:color w:val="111111"/>
          <w:sz w:val="22"/>
        </w:rPr>
        <w:t>General,</w:t>
      </w:r>
      <w:r>
        <w:rPr>
          <w:color w:val="111111"/>
          <w:spacing w:val="13"/>
          <w:sz w:val="22"/>
        </w:rPr>
        <w:t> </w:t>
      </w:r>
      <w:r>
        <w:rPr>
          <w:color w:val="111111"/>
          <w:sz w:val="22"/>
        </w:rPr>
        <w:t>podrá</w:t>
      </w:r>
      <w:r>
        <w:rPr>
          <w:color w:val="111111"/>
          <w:spacing w:val="18"/>
          <w:sz w:val="22"/>
        </w:rPr>
        <w:t> </w:t>
      </w:r>
      <w:r>
        <w:rPr>
          <w:color w:val="111111"/>
          <w:sz w:val="22"/>
        </w:rPr>
        <w:t>optar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por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criterios</w:t>
      </w:r>
      <w:r>
        <w:rPr>
          <w:color w:val="111111"/>
          <w:spacing w:val="16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5"/>
          <w:sz w:val="22"/>
        </w:rPr>
        <w:t> </w:t>
      </w:r>
      <w:r>
        <w:rPr>
          <w:color w:val="111111"/>
          <w:sz w:val="22"/>
        </w:rPr>
        <w:t>diversificación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en las distintas entidades participantes o bien priorizar aquellas entidades en las cuales se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encuentren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acreditados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los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fondos.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76" w:lineRule="auto" w:before="1" w:after="0"/>
        <w:ind w:left="101" w:right="804" w:firstLine="0"/>
        <w:jc w:val="both"/>
        <w:rPr>
          <w:sz w:val="22"/>
        </w:rPr>
      </w:pPr>
      <w:r>
        <w:rPr>
          <w:color w:val="111111"/>
          <w:sz w:val="22"/>
        </w:rPr>
        <w:t>Autorízase a la Tesorería General, a realizar la apertura de cuentas en entidades financieras,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siempre que las mismas sean destinadas exclusivamente a operaciones de inversión en Plazos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Fijos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o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Cuentas Remuneradas.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1140" w:footer="1000" w:top="1660" w:bottom="1200" w:left="1600" w:right="840"/>
        </w:sect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342" w:val="left" w:leader="none"/>
        </w:tabs>
        <w:spacing w:line="240" w:lineRule="auto" w:before="56" w:after="0"/>
        <w:ind w:left="341" w:right="0" w:hanging="241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3924300</wp:posOffset>
            </wp:positionH>
            <wp:positionV relativeFrom="paragraph">
              <wp:posOffset>-216108</wp:posOffset>
            </wp:positionV>
            <wp:extent cx="3037331" cy="33832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331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u w:val="single" w:color="111111"/>
        </w:rPr>
        <w:t>Fondos</w:t>
      </w:r>
      <w:r>
        <w:rPr>
          <w:color w:val="111111"/>
          <w:spacing w:val="-4"/>
          <w:u w:val="single" w:color="111111"/>
        </w:rPr>
        <w:t> </w:t>
      </w:r>
      <w:r>
        <w:rPr>
          <w:color w:val="111111"/>
          <w:u w:val="single" w:color="111111"/>
        </w:rPr>
        <w:t>Comunes de</w:t>
      </w:r>
      <w:r>
        <w:rPr>
          <w:color w:val="111111"/>
          <w:spacing w:val="-2"/>
          <w:u w:val="single" w:color="111111"/>
        </w:rPr>
        <w:t> </w:t>
      </w:r>
      <w:r>
        <w:rPr>
          <w:color w:val="111111"/>
          <w:u w:val="single" w:color="111111"/>
        </w:rPr>
        <w:t>Inversión</w:t>
      </w:r>
      <w:r>
        <w:rPr>
          <w:color w:val="111111"/>
          <w:u w:val="none"/>
        </w:rPr>
        <w:t>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76" w:val="left" w:leader="none"/>
          <w:tab w:pos="877" w:val="left" w:leader="none"/>
        </w:tabs>
        <w:spacing w:line="276" w:lineRule="auto" w:before="57" w:after="0"/>
        <w:ind w:left="101" w:right="858" w:firstLine="0"/>
        <w:jc w:val="both"/>
        <w:rPr>
          <w:sz w:val="22"/>
        </w:rPr>
      </w:pPr>
      <w:r>
        <w:rPr>
          <w:color w:val="111111"/>
          <w:sz w:val="22"/>
        </w:rPr>
        <w:t>La Tesorería General en conjunto con la Secretaria de Hacienda, previa evaluación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financiera, determinaran la suscripción inicial de aquellos FCI que se realicen directamente con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la Sociedad Gerente de Fondos Comunes de Inversión reguladas por la Comisión Nacional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Valores, elegibles que mejor se adecúan a los objetivos de la presente norma conforme el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contexto macroeconómico vigente. La Tesorería General podrá realizar las suscripciones 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rescates subsiguientes previo análisis económico financiero y/o necesidades del Municipio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disponer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los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mismos.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00" w:val="left" w:leader="none"/>
        </w:tabs>
        <w:spacing w:line="276" w:lineRule="auto" w:before="0" w:after="0"/>
        <w:ind w:left="101" w:right="857" w:firstLine="0"/>
        <w:jc w:val="both"/>
        <w:rPr>
          <w:sz w:val="22"/>
        </w:rPr>
      </w:pPr>
      <w:r>
        <w:rPr>
          <w:color w:val="111111"/>
          <w:sz w:val="22"/>
        </w:rPr>
        <w:t>La Tesorería General previa evaluación financiera, determinará la suscripción inicial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aquellos</w:t>
      </w:r>
      <w:r>
        <w:rPr>
          <w:color w:val="111111"/>
          <w:spacing w:val="3"/>
          <w:sz w:val="22"/>
        </w:rPr>
        <w:t> </w:t>
      </w:r>
      <w:r>
        <w:rPr>
          <w:color w:val="111111"/>
          <w:sz w:val="22"/>
        </w:rPr>
        <w:t>FCI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7"/>
          <w:sz w:val="22"/>
        </w:rPr>
        <w:t> </w:t>
      </w:r>
      <w:r>
        <w:rPr>
          <w:color w:val="111111"/>
          <w:sz w:val="22"/>
        </w:rPr>
        <w:t>se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realicen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través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Entidades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Financieras,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elegibles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mejor</w:t>
      </w:r>
      <w:r>
        <w:rPr>
          <w:color w:val="111111"/>
          <w:spacing w:val="3"/>
          <w:sz w:val="22"/>
        </w:rPr>
        <w:t> </w:t>
      </w:r>
      <w:r>
        <w:rPr>
          <w:color w:val="111111"/>
          <w:sz w:val="22"/>
        </w:rPr>
        <w:t>se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adecuan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a los objetivos de la presente norma conforme el contexto macroeconómico vigente. Así como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también podrá realizar las suscripciones y rescates subsiguientes previo análisis económico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financiero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y/o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necesidades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del Municipio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disponer 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los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mismos.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68" w:val="left" w:leader="none"/>
        </w:tabs>
        <w:spacing w:line="276" w:lineRule="auto" w:before="0" w:after="0"/>
        <w:ind w:left="101" w:right="858" w:firstLine="0"/>
        <w:jc w:val="both"/>
        <w:rPr>
          <w:sz w:val="22"/>
        </w:rPr>
      </w:pPr>
      <w:r>
        <w:rPr>
          <w:color w:val="111111"/>
          <w:sz w:val="22"/>
        </w:rPr>
        <w:t>Autorícese a la Tesorería General, a realizar la apertura de cuentas en ACDI (Agentes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colocación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distribución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integral)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SGFCI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(Sociedades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gerentes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Fondos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Comunes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Inversión), siempre que las mismas sean destinadas exclusivamente a operaciones de inversión</w:t>
      </w:r>
      <w:r>
        <w:rPr>
          <w:color w:val="111111"/>
          <w:spacing w:val="-47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Fondos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Comunes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Inversión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priorizando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aquellos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una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mayor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participación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mercado.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421" w:val="left" w:leader="none"/>
        </w:tabs>
        <w:spacing w:line="273" w:lineRule="auto" w:before="0" w:after="0"/>
        <w:ind w:left="101" w:right="857" w:firstLine="48"/>
        <w:jc w:val="left"/>
        <w:rPr>
          <w:u w:val="none"/>
        </w:rPr>
      </w:pPr>
      <w:r>
        <w:rPr>
          <w:color w:val="111111"/>
          <w:u w:val="single" w:color="111111"/>
        </w:rPr>
        <w:t>Inversión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en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Títulos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Públicos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(TP), Letras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de Tesorería (LT)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u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Obligaciones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Negociables</w:t>
      </w:r>
      <w:r>
        <w:rPr>
          <w:color w:val="111111"/>
          <w:spacing w:val="-47"/>
          <w:u w:val="none"/>
        </w:rPr>
        <w:t> </w:t>
      </w:r>
      <w:r>
        <w:rPr>
          <w:color w:val="111111"/>
          <w:u w:val="single" w:color="111111"/>
        </w:rPr>
        <w:t>(ON):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76" w:lineRule="auto" w:before="57" w:after="0"/>
        <w:ind w:left="101" w:right="858" w:firstLine="0"/>
        <w:jc w:val="both"/>
        <w:rPr>
          <w:sz w:val="22"/>
        </w:rPr>
      </w:pPr>
      <w:r>
        <w:rPr>
          <w:color w:val="111111"/>
          <w:sz w:val="22"/>
        </w:rPr>
        <w:t>La Tesorería general conjuntamente con la Secretaria de Hacienda, realizarán un análisis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 los Títulos Públicos (TP) y Letras de Tesorería elegibles (LT) y Obligaciones Negociables (ON)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 permitan resguardar el valor real y constante de la moneda y mejorar la rentabilidad, para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determinar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realización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la inversión</w:t>
      </w:r>
      <w:r>
        <w:rPr>
          <w:color w:val="111111"/>
          <w:spacing w:val="-3"/>
          <w:sz w:val="22"/>
        </w:rPr>
        <w:t> </w:t>
      </w:r>
      <w:r>
        <w:rPr>
          <w:color w:val="111111"/>
          <w:sz w:val="22"/>
        </w:rPr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76" w:lineRule="auto" w:before="0" w:after="0"/>
        <w:ind w:left="101" w:right="858" w:firstLine="0"/>
        <w:jc w:val="both"/>
        <w:rPr>
          <w:sz w:val="22"/>
        </w:rPr>
      </w:pPr>
      <w:r>
        <w:rPr>
          <w:color w:val="111111"/>
          <w:sz w:val="22"/>
        </w:rPr>
        <w:t>Autorízase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Tesorería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General,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realizar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apertura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cuentas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Agentes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Liquidación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Compensación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y/o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Agentes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Negociación,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siempre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que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mismas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destinadas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exclusivamente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operaciones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compra/venta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Títulos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Públicos,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Letras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Tesorería y Obligaciones Negociables, priorizando aquellos con una mayor participación de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mercado.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1" w:firstLine="48"/>
      </w:pPr>
      <w:r>
        <w:rPr>
          <w:b/>
          <w:color w:val="111111"/>
        </w:rPr>
        <w:t>Artículo</w:t>
      </w:r>
      <w:r>
        <w:rPr>
          <w:b/>
          <w:color w:val="111111"/>
          <w:spacing w:val="32"/>
        </w:rPr>
        <w:t> </w:t>
      </w:r>
      <w:r>
        <w:rPr>
          <w:b/>
          <w:color w:val="111111"/>
        </w:rPr>
        <w:t>6:</w:t>
      </w:r>
      <w:r>
        <w:rPr>
          <w:b/>
          <w:color w:val="111111"/>
          <w:spacing w:val="31"/>
        </w:rPr>
        <w:t> </w:t>
      </w:r>
      <w:r>
        <w:rPr/>
        <w:t>Comuníquese</w:t>
      </w:r>
      <w:r>
        <w:rPr>
          <w:spacing w:val="33"/>
        </w:rPr>
        <w:t> </w:t>
      </w:r>
      <w:r>
        <w:rPr/>
        <w:t>al</w:t>
      </w:r>
      <w:r>
        <w:rPr>
          <w:spacing w:val="34"/>
        </w:rPr>
        <w:t> </w:t>
      </w:r>
      <w:r>
        <w:rPr/>
        <w:t>Departamento</w:t>
      </w:r>
      <w:r>
        <w:rPr>
          <w:spacing w:val="33"/>
        </w:rPr>
        <w:t> </w:t>
      </w:r>
      <w:r>
        <w:rPr/>
        <w:t>Ejecutivo,</w:t>
      </w:r>
      <w:r>
        <w:rPr>
          <w:spacing w:val="32"/>
        </w:rPr>
        <w:t> </w:t>
      </w:r>
      <w:r>
        <w:rPr/>
        <w:t>dése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registro</w:t>
      </w:r>
      <w:r>
        <w:rPr>
          <w:spacing w:val="32"/>
        </w:rPr>
        <w:t> </w:t>
      </w:r>
      <w:r>
        <w:rPr/>
        <w:t>municipal</w:t>
      </w:r>
      <w:r>
        <w:rPr>
          <w:spacing w:val="32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ind w:left="101"/>
      </w:pPr>
      <w:r>
        <w:rPr/>
        <w:t>p.m.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none"/>
        </w:rPr>
        <w:t>DADA</w:t>
      </w:r>
      <w:r>
        <w:rPr>
          <w:spacing w:val="-3"/>
          <w:u w:val="none"/>
        </w:rPr>
        <w:t> </w:t>
      </w:r>
      <w:r>
        <w:rPr>
          <w:u w:val="none"/>
        </w:rPr>
        <w:t>EN</w:t>
      </w:r>
      <w:r>
        <w:rPr>
          <w:spacing w:val="-2"/>
          <w:u w:val="none"/>
        </w:rPr>
        <w:t> </w:t>
      </w:r>
      <w:r>
        <w:rPr>
          <w:u w:val="none"/>
        </w:rPr>
        <w:t>SESIÓN</w:t>
      </w:r>
      <w:r>
        <w:rPr>
          <w:spacing w:val="-2"/>
          <w:u w:val="none"/>
        </w:rPr>
        <w:t> </w:t>
      </w:r>
      <w:r>
        <w:rPr>
          <w:u w:val="none"/>
        </w:rPr>
        <w:t>ORDINARIA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u w:val="none"/>
        </w:rPr>
        <w:t>DÍA</w:t>
      </w:r>
      <w:r>
        <w:rPr>
          <w:spacing w:val="-3"/>
          <w:u w:val="none"/>
        </w:rPr>
        <w:t> </w:t>
      </w:r>
      <w:r>
        <w:rPr>
          <w:u w:val="none"/>
        </w:rPr>
        <w:t>ONCE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ABRIL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u w:val="none"/>
        </w:rPr>
        <w:t>AÑO</w:t>
      </w:r>
      <w:r>
        <w:rPr>
          <w:spacing w:val="-1"/>
          <w:u w:val="none"/>
        </w:rPr>
        <w:t> </w:t>
      </w:r>
      <w:r>
        <w:rPr>
          <w:u w:val="none"/>
        </w:rPr>
        <w:t>DOS</w:t>
      </w:r>
      <w:r>
        <w:rPr>
          <w:spacing w:val="-2"/>
          <w:u w:val="none"/>
        </w:rPr>
        <w:t> </w:t>
      </w:r>
      <w:r>
        <w:rPr>
          <w:u w:val="none"/>
        </w:rPr>
        <w:t>MIL</w:t>
      </w:r>
      <w:r>
        <w:rPr>
          <w:spacing w:val="-3"/>
          <w:u w:val="none"/>
        </w:rPr>
        <w:t> </w:t>
      </w:r>
      <w:r>
        <w:rPr>
          <w:u w:val="none"/>
        </w:rPr>
        <w:t>VEINTIDOS</w:t>
      </w:r>
    </w:p>
    <w:sectPr>
      <w:headerReference w:type="default" r:id="rId7"/>
      <w:footerReference w:type="default" r:id="rId8"/>
      <w:pgSz w:w="11910" w:h="16840"/>
      <w:pgMar w:header="0" w:footer="1000" w:top="1120" w:bottom="120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1568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815168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1312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812608" filled="true" fillcolor="#660066" stroked="false">
          <v:fill type="solid"/>
          <w10:wrap type="none"/>
        </v:rect>
      </w:pict>
    </w:r>
    <w:r>
      <w:rPr/>
      <w:pict>
        <v:shape style="position:absolute;margin-left:63.558998pt;margin-top:787.34259pt;width:128.5500pt;height:32.8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-"/>
      <w:lvlJc w:val="left"/>
      <w:pPr>
        <w:ind w:left="101" w:hanging="408"/>
        <w:jc w:val="left"/>
      </w:pPr>
      <w:rPr>
        <w:rFonts w:hint="default" w:ascii="Calibri" w:hAnsi="Calibri" w:eastAsia="Calibri" w:cs="Calibri"/>
        <w:color w:val="111111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6" w:hanging="4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3" w:hanging="4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9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6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3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9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6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2" w:hanging="4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-"/>
      <w:lvlJc w:val="left"/>
      <w:pPr>
        <w:ind w:left="101" w:hanging="776"/>
        <w:jc w:val="left"/>
      </w:pPr>
      <w:rPr>
        <w:rFonts w:hint="default" w:ascii="Calibri" w:hAnsi="Calibri" w:eastAsia="Calibri" w:cs="Calibri"/>
        <w:color w:val="111111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6" w:hanging="7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3" w:hanging="7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9" w:hanging="7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6" w:hanging="7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3" w:hanging="7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9" w:hanging="7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6" w:hanging="7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2" w:hanging="7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-"/>
      <w:lvlJc w:val="left"/>
      <w:pPr>
        <w:ind w:left="101" w:hanging="380"/>
        <w:jc w:val="left"/>
      </w:pPr>
      <w:rPr>
        <w:rFonts w:hint="default" w:ascii="Calibri" w:hAnsi="Calibri" w:eastAsia="Calibri" w:cs="Calibri"/>
        <w:color w:val="111111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6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3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3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9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6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2" w:hanging="3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509" w:hanging="360"/>
        <w:jc w:val="left"/>
      </w:pPr>
      <w:rPr>
        <w:rFonts w:hint="default" w:ascii="Calibri" w:hAnsi="Calibri" w:eastAsia="Calibri" w:cs="Calibri"/>
        <w:b/>
        <w:bCs/>
        <w:color w:val="11111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-"/>
      <w:lvlJc w:val="left"/>
      <w:pPr>
        <w:ind w:left="101" w:hanging="245"/>
        <w:jc w:val="left"/>
      </w:pPr>
      <w:rPr>
        <w:rFonts w:hint="default" w:ascii="Calibri" w:hAnsi="Calibri" w:eastAsia="Calibri" w:cs="Calibri"/>
        <w:color w:val="111111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3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9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3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9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6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2" w:hanging="245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858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2022-07-26T16:32:58Z</dcterms:created>
  <dcterms:modified xsi:type="dcterms:W3CDTF">2022-07-26T16:32:58Z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