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7D" w:rsidRDefault="00A32707">
      <w:pPr>
        <w:wordWrap w:val="0"/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ORDENANZA N° 71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s-AR"/>
        </w:rPr>
        <w:t>95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>/2021</w:t>
      </w:r>
    </w:p>
    <w:p w:rsidR="00342D7D" w:rsidRDefault="00342D7D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 w:rsidR="00342D7D" w:rsidRDefault="00A32707">
      <w:pPr>
        <w:spacing w:before="240" w:after="24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VISTO:</w:t>
      </w:r>
    </w:p>
    <w:p w:rsidR="00342D7D" w:rsidRDefault="00A32707">
      <w:pPr>
        <w:spacing w:before="240" w:after="24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El expediente Nº 2021-001581/I1-GC, caratulado: SECRETARIA INNOVACIÓN LEGAL Y TECNICA S/AUTORIZACIÓN Y MODIFICACIÓN DEL ART 15º ORDENANZA PRESUPUESTARIA 7091/2020; y</w:t>
      </w:r>
    </w:p>
    <w:p w:rsidR="00342D7D" w:rsidRDefault="00A32707">
      <w:pPr>
        <w:spacing w:before="240" w:after="24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CONSIDERANDO:</w:t>
      </w:r>
    </w:p>
    <w:p w:rsidR="00342D7D" w:rsidRDefault="00A32707">
      <w:pPr>
        <w:spacing w:before="240" w:after="24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Que por las presentes actuaciones, el </w:t>
      </w:r>
      <w:r>
        <w:rPr>
          <w:rFonts w:ascii="Calibri" w:eastAsia="Calibri" w:hAnsi="Calibri" w:cs="Calibri"/>
          <w:bCs/>
          <w:sz w:val="22"/>
          <w:szCs w:val="22"/>
        </w:rPr>
        <w:t>Departamento Ejecutivo  a través de la Secretaría Legal y Técnica solicita modificación del artículo 15 de la Ordenanza Presupuestaria del ejercicio 2021 (7091/2020).</w:t>
      </w:r>
    </w:p>
    <w:p w:rsidR="00342D7D" w:rsidRDefault="00A32707">
      <w:pPr>
        <w:spacing w:before="14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Que el artículo 15 de la mencionada Ordenanza establece el crédito presupuestario estimad</w:t>
      </w:r>
      <w:r>
        <w:rPr>
          <w:rFonts w:ascii="Calibri" w:eastAsia="Calibri" w:hAnsi="Calibri" w:cs="Calibri"/>
          <w:bCs/>
          <w:sz w:val="22"/>
          <w:szCs w:val="22"/>
        </w:rPr>
        <w:t xml:space="preserve">o para el ejercicio 2021  en $7.542.000,00 para atender los  juicios con sentencia firme al 31-10-2020.  </w:t>
      </w:r>
    </w:p>
    <w:p w:rsidR="00342D7D" w:rsidRDefault="00A32707">
      <w:pPr>
        <w:spacing w:before="240" w:after="24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 Que el Apoderado Judicial de la Comuna expresa que en  virtud de la pandemia de público conocimiento, la actividad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tribunalicia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y el ejercicio profes</w:t>
      </w:r>
      <w:r>
        <w:rPr>
          <w:rFonts w:ascii="Calibri" w:eastAsia="Calibri" w:hAnsi="Calibri" w:cs="Calibri"/>
          <w:bCs/>
          <w:sz w:val="22"/>
          <w:szCs w:val="22"/>
        </w:rPr>
        <w:t>ional de la abogacía, tuvo una fuerte retracción durante el año 2020, lo que implicó que los pagos se retrasaron en mérito a las limitaciones emergentes de la precitada pandemia y se fueron trasladando vencimientos para año 2021, acumulándose a las obligac</w:t>
      </w:r>
      <w:r>
        <w:rPr>
          <w:rFonts w:ascii="Calibri" w:eastAsia="Calibri" w:hAnsi="Calibri" w:cs="Calibri"/>
          <w:bCs/>
          <w:sz w:val="22"/>
          <w:szCs w:val="22"/>
        </w:rPr>
        <w:t xml:space="preserve">iones del presente año, lo que trae como consecuencia </w:t>
      </w:r>
      <w:proofErr w:type="gramStart"/>
      <w:r>
        <w:rPr>
          <w:rFonts w:ascii="Calibri" w:eastAsia="Calibri" w:hAnsi="Calibri" w:cs="Calibri"/>
          <w:bCs/>
          <w:sz w:val="22"/>
          <w:szCs w:val="22"/>
        </w:rPr>
        <w:t>que</w:t>
      </w:r>
      <w:proofErr w:type="gramEnd"/>
      <w:r>
        <w:rPr>
          <w:rFonts w:ascii="Calibri" w:eastAsia="Calibri" w:hAnsi="Calibri" w:cs="Calibri"/>
          <w:bCs/>
          <w:sz w:val="22"/>
          <w:szCs w:val="22"/>
        </w:rPr>
        <w:t xml:space="preserve"> el importe presupuestado para este ejercicio resulte absolutamente insuficiente, agregando que en razón de lo expuesto solicita  la posibilidad de aumentar en la cantidad de Pesos Nueve Millones ($9</w:t>
      </w:r>
      <w:r>
        <w:rPr>
          <w:rFonts w:ascii="Calibri" w:eastAsia="Calibri" w:hAnsi="Calibri" w:cs="Calibri"/>
          <w:bCs/>
          <w:sz w:val="22"/>
          <w:szCs w:val="22"/>
        </w:rPr>
        <w:t>.000.000) lo presupuestado en el presupuesto 2021, para poder pagar importes condenados en 2020 y parte de 2021 evitando que se trasladen al siguiente ejercicio el pago de condena de muchos juicios, con intereses considerables.</w:t>
      </w:r>
    </w:p>
    <w:p w:rsidR="00342D7D" w:rsidRDefault="00A32707">
      <w:pPr>
        <w:spacing w:before="240" w:after="24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 Que atento a lo expuesto se</w:t>
      </w:r>
      <w:r>
        <w:rPr>
          <w:rFonts w:ascii="Calibri" w:eastAsia="Calibri" w:hAnsi="Calibri" w:cs="Calibri"/>
          <w:bCs/>
          <w:sz w:val="22"/>
          <w:szCs w:val="22"/>
        </w:rPr>
        <w:t xml:space="preserve"> estima procedente acceder a lo solicitado.</w:t>
      </w:r>
    </w:p>
    <w:p w:rsidR="00342D7D" w:rsidRDefault="00A32707">
      <w:pPr>
        <w:spacing w:before="240" w:after="24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POR ELLO:</w:t>
      </w:r>
    </w:p>
    <w:p w:rsidR="00342D7D" w:rsidRDefault="00A32707">
      <w:pPr>
        <w:spacing w:after="200" w:line="276" w:lineRule="auto"/>
        <w:ind w:left="700"/>
        <w:jc w:val="center"/>
        <w:rPr>
          <w:rFonts w:ascii="Calibri" w:eastAsia="Calibri" w:hAnsi="Calibri" w:cs="Calibri"/>
          <w:b/>
          <w:sz w:val="22"/>
          <w:szCs w:val="22"/>
          <w:lang w:val="es-AR"/>
        </w:rPr>
      </w:pPr>
      <w:r>
        <w:rPr>
          <w:rFonts w:ascii="Calibri" w:eastAsia="Calibri" w:hAnsi="Calibri" w:cs="Calibri"/>
          <w:b/>
          <w:sz w:val="22"/>
          <w:szCs w:val="22"/>
          <w:lang w:val="es-AR"/>
        </w:rPr>
        <w:t>EL HONORABLE CONCE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  <w:lang w:val="es-AR"/>
        </w:rPr>
        <w:t>JO DELIBERANTE DE GODOY CRUZ</w:t>
      </w:r>
    </w:p>
    <w:p w:rsidR="00342D7D" w:rsidRDefault="00A32707">
      <w:pPr>
        <w:spacing w:after="200" w:line="276" w:lineRule="auto"/>
        <w:ind w:left="700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ORDENA</w:t>
      </w:r>
    </w:p>
    <w:p w:rsidR="00342D7D" w:rsidRDefault="00A32707">
      <w:pPr>
        <w:spacing w:before="240" w:after="24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ARTÍCULO 1: </w:t>
      </w:r>
      <w:r>
        <w:rPr>
          <w:rFonts w:ascii="Calibri" w:eastAsia="Calibri" w:hAnsi="Calibri" w:cs="Calibri"/>
          <w:bCs/>
          <w:sz w:val="22"/>
          <w:szCs w:val="22"/>
        </w:rPr>
        <w:t>Modifíquese el artículo 15 de la Ordenanza 7091/2020, el que quedará redactado de la siguiente manera:</w:t>
      </w:r>
    </w:p>
    <w:p w:rsidR="00342D7D" w:rsidRDefault="00A32707">
      <w:pPr>
        <w:spacing w:before="280"/>
        <w:ind w:left="56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Artículo 15: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sz w:val="22"/>
          <w:szCs w:val="22"/>
        </w:rPr>
        <w:t>PAGO DE JUICIOS CONTRA EL ESTADO MUNICIPAL: En cumplimiento de la  adhesión al Artículo 44° de la Ley N° 6.754 y modificatorias, el Apoderado Judicial se obliga a  informar fehacientemente a la Dirección de Contaduría Municipal las sentencias basadas en  a</w:t>
      </w:r>
      <w:r>
        <w:rPr>
          <w:rFonts w:ascii="Calibri" w:eastAsia="Calibri" w:hAnsi="Calibri" w:cs="Calibri"/>
          <w:bCs/>
          <w:sz w:val="22"/>
          <w:szCs w:val="22"/>
        </w:rPr>
        <w:t>utoridad de cosa juzgada y/o los arreglos extrajudiciales que deban ser atendidos, siguiendo  un estricto orden de antigüedad, priorizando las sentencias firmes y / o arreglos extrajudiciales  en reclamos efectuados por jubilados y pensionados provenientes</w:t>
      </w:r>
      <w:r>
        <w:rPr>
          <w:rFonts w:ascii="Calibri" w:eastAsia="Calibri" w:hAnsi="Calibri" w:cs="Calibri"/>
          <w:bCs/>
          <w:sz w:val="22"/>
          <w:szCs w:val="22"/>
        </w:rPr>
        <w:t xml:space="preserve"> de su condición de  beneficiarios que tengan setenta (70) años cumplidos o más y/o que el beneficio haya sido  obtenido por invalidez o enfermedad, conforme a la fecha de notificación de la liquidación  definitiva, sea judicial o acordada y hasta su agota</w:t>
      </w:r>
      <w:r>
        <w:rPr>
          <w:rFonts w:ascii="Calibri" w:eastAsia="Calibri" w:hAnsi="Calibri" w:cs="Calibri"/>
          <w:bCs/>
          <w:sz w:val="22"/>
          <w:szCs w:val="22"/>
        </w:rPr>
        <w:t xml:space="preserve">miento. Las causas remanentes que subsistan  por haber </w:t>
      </w:r>
      <w:r>
        <w:rPr>
          <w:rFonts w:ascii="Calibri" w:eastAsia="Calibri" w:hAnsi="Calibri" w:cs="Calibri"/>
          <w:bCs/>
          <w:sz w:val="22"/>
          <w:szCs w:val="22"/>
        </w:rPr>
        <w:lastRenderedPageBreak/>
        <w:t xml:space="preserve">carecido de crédito presupuestario, serán atendidas con los recursos que se asignen  en el siguiente ejercicio fiscal, ordenadas cronológicamente y por motivo del reclamo.  </w:t>
      </w:r>
    </w:p>
    <w:p w:rsidR="00342D7D" w:rsidRDefault="00A32707">
      <w:pPr>
        <w:spacing w:before="140"/>
        <w:ind w:left="56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El crédito presupuestario e</w:t>
      </w:r>
      <w:r>
        <w:rPr>
          <w:rFonts w:ascii="Calibri" w:eastAsia="Calibri" w:hAnsi="Calibri" w:cs="Calibri"/>
          <w:bCs/>
          <w:sz w:val="22"/>
          <w:szCs w:val="22"/>
        </w:rPr>
        <w:t xml:space="preserve">stimado para el ejercicio 2021 por este concepto está previsto en  el ámbito de los créditos presupuestarios del Apoderado Municipal, en las partidas de Personal  y de Servicios, según la naturaleza del probable reclamo.  </w:t>
      </w:r>
    </w:p>
    <w:p w:rsidR="00342D7D" w:rsidRDefault="00A32707">
      <w:pPr>
        <w:spacing w:before="140"/>
        <w:ind w:left="56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El crédito presupuestario estimad</w:t>
      </w:r>
      <w:r>
        <w:rPr>
          <w:rFonts w:ascii="Calibri" w:eastAsia="Calibri" w:hAnsi="Calibri" w:cs="Calibri"/>
          <w:bCs/>
          <w:sz w:val="22"/>
          <w:szCs w:val="22"/>
        </w:rPr>
        <w:t xml:space="preserve">o para el ejercicio 2021 se fija la suma Pesos DIECISÉIS MILLONES  QUINIENTOS CUARENTA Y DOS MIL CON 00/100 ($ 16.542.000,00) para atender los  juicios con sentencia firme al 31-12-2021.  </w:t>
      </w:r>
    </w:p>
    <w:p w:rsidR="00342D7D" w:rsidRDefault="00A32707">
      <w:pPr>
        <w:spacing w:before="240" w:after="24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ARTÍCULO 2: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Autorízase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al Departamento Ejecutivo, a través de la de</w:t>
      </w:r>
      <w:r>
        <w:rPr>
          <w:rFonts w:ascii="Calibri" w:eastAsia="Calibri" w:hAnsi="Calibri" w:cs="Calibri"/>
          <w:bCs/>
          <w:sz w:val="22"/>
          <w:szCs w:val="22"/>
        </w:rPr>
        <w:t>pendencia municipal que corresponda, a realizar las modificaciones necesarias para atender la erogación aprobada por el Artículo 1.</w:t>
      </w:r>
    </w:p>
    <w:p w:rsidR="00342D7D" w:rsidRDefault="00342D7D">
      <w:pPr>
        <w:jc w:val="both"/>
        <w:rPr>
          <w:rFonts w:ascii="Calibri" w:eastAsia="SimSun" w:hAnsi="Calibri" w:cs="Calibri"/>
          <w:b/>
          <w:bCs/>
          <w:sz w:val="22"/>
          <w:szCs w:val="22"/>
          <w:u w:val="single"/>
        </w:rPr>
      </w:pPr>
    </w:p>
    <w:p w:rsidR="00342D7D" w:rsidRDefault="00A32707">
      <w:pPr>
        <w:jc w:val="both"/>
        <w:rPr>
          <w:rFonts w:ascii="Calibri" w:hAnsi="Calibri" w:cs="Calibri"/>
          <w:sz w:val="22"/>
          <w:szCs w:val="22"/>
          <w:lang w:val="es-MX"/>
        </w:rPr>
      </w:pPr>
      <w:r>
        <w:rPr>
          <w:rFonts w:ascii="Calibri" w:eastAsia="SimSun" w:hAnsi="Calibri" w:cs="Calibri"/>
          <w:b/>
          <w:bCs/>
          <w:sz w:val="22"/>
          <w:szCs w:val="22"/>
          <w:u w:val="single"/>
        </w:rPr>
        <w:t xml:space="preserve">ARTÍCULO </w:t>
      </w:r>
      <w:r>
        <w:rPr>
          <w:rFonts w:ascii="Calibri" w:eastAsia="SimSun" w:hAnsi="Calibri" w:cs="Calibri"/>
          <w:b/>
          <w:bCs/>
          <w:sz w:val="22"/>
          <w:szCs w:val="22"/>
          <w:u w:val="single"/>
          <w:lang w:val="es-AR"/>
        </w:rPr>
        <w:t>3</w:t>
      </w:r>
      <w:r>
        <w:rPr>
          <w:rFonts w:ascii="Calibri" w:eastAsia="SimSun" w:hAnsi="Calibri" w:cs="Calibri"/>
          <w:b/>
          <w:bCs/>
          <w:sz w:val="22"/>
          <w:szCs w:val="22"/>
          <w:u w:val="single"/>
          <w:lang w:val="es-MX"/>
        </w:rPr>
        <w:t>:</w:t>
      </w:r>
      <w:r>
        <w:rPr>
          <w:rFonts w:ascii="Calibri" w:eastAsia="SimSun" w:hAnsi="Calibri" w:cs="Calibri"/>
          <w:sz w:val="22"/>
          <w:szCs w:val="22"/>
          <w:lang w:val="es-MX"/>
        </w:rPr>
        <w:t xml:space="preserve"> Comuníquese al Departamento Ejecutivo, </w:t>
      </w:r>
      <w:proofErr w:type="spellStart"/>
      <w:r>
        <w:rPr>
          <w:rFonts w:ascii="Calibri" w:eastAsia="SimSun" w:hAnsi="Calibri" w:cs="Calibri"/>
          <w:sz w:val="22"/>
          <w:szCs w:val="22"/>
          <w:lang w:val="es-MX"/>
        </w:rPr>
        <w:t>dése</w:t>
      </w:r>
      <w:proofErr w:type="spellEnd"/>
      <w:r>
        <w:rPr>
          <w:rFonts w:ascii="Calibri" w:eastAsia="SimSun" w:hAnsi="Calibri" w:cs="Calibri"/>
          <w:sz w:val="22"/>
          <w:szCs w:val="22"/>
          <w:lang w:val="es-MX"/>
        </w:rPr>
        <w:t xml:space="preserve"> al registro municipal respectivo, publíquese y cumplido archívese. </w:t>
      </w:r>
    </w:p>
    <w:p w:rsidR="00342D7D" w:rsidRDefault="00342D7D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</w:pPr>
    </w:p>
    <w:p w:rsidR="00342D7D" w:rsidRDefault="00A32707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>p.m.</w:t>
      </w:r>
    </w:p>
    <w:p w:rsidR="00342D7D" w:rsidRDefault="00342D7D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:rsidR="00342D7D" w:rsidRDefault="00A3270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DADA EN SALA DE SESIONES, EN SESIÓN ORDINARIA DEL DÍA </w:t>
      </w:r>
      <w:r>
        <w:rPr>
          <w:rFonts w:asciiTheme="minorHAnsi" w:hAnsiTheme="minorHAnsi" w:cstheme="minorHAnsi"/>
          <w:b/>
          <w:bCs/>
          <w:sz w:val="22"/>
          <w:szCs w:val="22"/>
          <w:lang w:val="es-AR"/>
        </w:rPr>
        <w:t>CUATRO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>
        <w:rPr>
          <w:rFonts w:asciiTheme="minorHAnsi" w:hAnsiTheme="minorHAnsi" w:cstheme="minorHAnsi"/>
          <w:b/>
          <w:bCs/>
          <w:sz w:val="22"/>
          <w:szCs w:val="22"/>
          <w:lang w:val="es-AR"/>
        </w:rPr>
        <w:t>OCTUBRE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</w:t>
      </w:r>
      <w:r>
        <w:rPr>
          <w:rFonts w:asciiTheme="minorHAnsi" w:hAnsiTheme="minorHAnsi" w:cstheme="minorHAnsi"/>
          <w:b/>
          <w:bCs/>
          <w:sz w:val="22"/>
          <w:szCs w:val="22"/>
          <w:lang w:val="es-MX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>INTIUNO</w:t>
      </w:r>
    </w:p>
    <w:p w:rsidR="00342D7D" w:rsidRDefault="00342D7D">
      <w:pPr>
        <w:rPr>
          <w:rFonts w:asciiTheme="minorHAnsi" w:hAnsiTheme="minorHAnsi" w:cstheme="minorHAnsi"/>
          <w:sz w:val="22"/>
          <w:szCs w:val="22"/>
        </w:rPr>
      </w:pPr>
    </w:p>
    <w:p w:rsidR="00342D7D" w:rsidRDefault="00342D7D">
      <w:pPr>
        <w:rPr>
          <w:sz w:val="32"/>
          <w:szCs w:val="32"/>
        </w:rPr>
      </w:pPr>
    </w:p>
    <w:sectPr w:rsidR="00342D7D">
      <w:headerReference w:type="default" r:id="rId9"/>
      <w:footerReference w:type="default" r:id="rId10"/>
      <w:pgSz w:w="11906" w:h="16838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7D" w:rsidRDefault="00A32707">
      <w:r>
        <w:separator/>
      </w:r>
    </w:p>
  </w:endnote>
  <w:endnote w:type="continuationSeparator" w:id="0">
    <w:p w:rsidR="00342D7D" w:rsidRDefault="00A3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7D" w:rsidRDefault="00A32707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342D7D" w:rsidRDefault="00A32707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Secretaría Administrativa</w:t>
                          </w:r>
                        </w:p>
                        <w:p w:rsidR="00342D7D" w:rsidRDefault="00A32707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342D7D" w:rsidRDefault="00A32707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sCustomData="http://www.wps.cn/officeDocument/2013/wpsCustomData" xmlns:w15="http://schemas.microsoft.com/office/word/2012/wordml">
          <w:pict>
            <v:shape id="Cuadro de texto 2" o:spid="_x0000_s1026" o:spt="202" type="#_x0000_t202" style="position:absolute;left:0pt;margin-left:-28.05pt;margin-top:-27pt;height:110.6pt;width:149.25pt;mso-wrap-distance-bottom:3.6pt;mso-wrap-distance-left:9pt;mso-wrap-distance-right:9pt;mso-wrap-distance-top:3.6pt;z-index:251659264;v-text-anchor:middle;mso-width-relative:page;mso-height-relative:margin;mso-height-percent:200;" filled="f" stroked="f" coordsize="21600,21600" o:gfxdata="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DAUR&#10;2wAAAAsBAAAPAAAAAAAAAAEAIAAAACIAAABkcnMvZG93bnJldi54bWxQSwECFAAUAAAACACHTuJA&#10;xE7qrB4CAAA0BAAADgAAAAAAAAABACAAAAAqAQAAZHJzL2Uyb0RvYy54bWxQSwUGAAAAAAYABgBZ&#10;AQAAu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Secretaría Administrativa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342D7D" w:rsidRDefault="00A32707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sCustomData="http://www.wps.cn/officeDocument/2013/wpsCustomData" xmlns:w15="http://schemas.microsoft.com/office/word/2012/wordml">
          <w:pict>
            <v:shape id="Cuadro de texto 2" o:spid="_x0000_s1026" o:spt="202" type="#_x0000_t202" style="position:absolute;left:0pt;margin-left:350.7pt;margin-top:-25.4pt;height:110.6pt;width:131.25pt;mso-wrap-distance-bottom:3.6pt;mso-wrap-distance-left:9pt;mso-wrap-distance-right:9pt;mso-wrap-distance-top:3.6pt;z-index:251661312;v-text-anchor:bottom;mso-width-relative:page;mso-height-relative:margin;mso-height-percent:200;" filled="f" stroked="f" coordsize="21600,21600" o:gfxdata="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g5Xn2wAA&#10;AAsBAAAPAAAAAAAAAAEAIAAAACIAAABkcnMvZG93bnJldi54bWxQSwECFAAUAAAACACHTuJA6LEc&#10;SBsCAAAxBAAADgAAAAAAAAABACAAAAAqAQAAZHJzL2Uyb0RvYy54bWxQSwUGAAAAAAYABgBZAQAA&#10;tw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342D7D" w:rsidRDefault="00A32707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:rsidR="00342D7D" w:rsidRDefault="00A3270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sCustomData="http://www.wps.cn/officeDocument/2013/wpsCustomData" xmlns:w15="http://schemas.microsoft.com/office/word/2012/wordml">
          <w:pict>
            <v:shape id="Cuadro de texto 2" o:spid="_x0000_s1026" o:spt="202" type="#_x0000_t202" style="position:absolute;left:0pt;margin-left:155.35pt;margin-top:-24.75pt;height:110.6pt;width:161.25pt;mso-position-horizontal-relative:margin;mso-wrap-distance-bottom:3.6pt;mso-wrap-distance-left:9pt;mso-wrap-distance-right:9pt;mso-wrap-distance-top:3.6pt;z-index:251660288;v-text-anchor:middle;mso-width-relative:page;mso-height-relative:margin;mso-height-percent:200;" filled="f" stroked="f" coordsize="21600,21600" o:gfxdata="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p8DTDd&#10;AAAACwEAAA8AAAAAAAAAAQAgAAAAIgAAAGRycy9kb3ducmV2LnhtbFBLAQIUABQAAAAIAIdO4kCQ&#10;qyxoGwIAADIEAAAOAAAAAAAAAAEAIAAAACwBAABkcnMvZTJvRG9jLnhtbFBLBQYAAAAABgAGAFkB&#10;AAC5BQAA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flip:x;margin-left:332.7pt;margin-top:-29.2pt;height:55.5pt;width:0pt;z-index:251663360;mso-width-relative:page;mso-height-relative:page;" filled="f" stroked="t" coordsize="21600,21600" o:gfxdata="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1oebYAAAACgEAAA8AAAAA&#10;AAAAAQAgAAAAIgAAAGRycy9kb3ducmV2LnhtbFBLAQIUABQAAAAIAIdO4kBpUulm2wEAALwDAAAO&#10;AAAAAAAAAAEAIAAAACcBAABkcnMvZTJvRG9jLnhtbFBLBQYAAAAABgAGAFkBAAB0BQAAAAA=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1805940</wp:posOffset>
              </wp:positionH>
              <wp:positionV relativeFrom="paragraph">
                <wp:posOffset>-370205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flip:x;margin-left:142.2pt;margin-top:-29.15pt;height:55.5pt;width:0pt;z-index:251662336;mso-width-relative:page;mso-height-relative:page;" filled="f" stroked="t" coordsize="21600,21600" o:gfxdata="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8Dt62QAAAAoBAAAPAAAA&#10;AAAAAAEAIAAAACIAAABkcnMvZG93bnJldi54bWxQSwECFAAUAAAACACHTuJAwzMXkdsBAAC8AwAA&#10;DgAAAAAAAAABACAAAAAoAQAAZHJzL2Uyb0RvYy54bWxQSwUGAAAAAAYABgBZAQAAdQUAAAAA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7D" w:rsidRDefault="00A32707">
      <w:r>
        <w:separator/>
      </w:r>
    </w:p>
  </w:footnote>
  <w:footnote w:type="continuationSeparator" w:id="0">
    <w:p w:rsidR="00342D7D" w:rsidRDefault="00A3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7D" w:rsidRDefault="00342D7D">
    <w:pPr>
      <w:pStyle w:val="Encabezado"/>
      <w:rPr>
        <w:rFonts w:asciiTheme="minorHAnsi" w:hAnsiTheme="minorHAnsi" w:cstheme="minorHAnsi"/>
        <w:color w:val="7030A0"/>
        <w:sz w:val="22"/>
        <w:szCs w:val="22"/>
      </w:rPr>
    </w:pPr>
    <w:bookmarkStart w:id="1" w:name="_Hlk502147258"/>
    <w:bookmarkStart w:id="2" w:name="_Hlk502147259"/>
  </w:p>
  <w:p w:rsidR="00342D7D" w:rsidRDefault="00A32707">
    <w:pPr>
      <w:pStyle w:val="Encabezado"/>
      <w:rPr>
        <w:rFonts w:asciiTheme="minorHAnsi" w:hAnsiTheme="minorHAnsi" w:cstheme="minorHAnsi"/>
        <w:color w:val="7030A0"/>
        <w:sz w:val="22"/>
        <w:szCs w:val="22"/>
      </w:rPr>
    </w:pPr>
    <w:r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7030A0"/>
        <w:sz w:val="22"/>
        <w:szCs w:val="22"/>
      </w:rPr>
      <w:t>2021</w:t>
    </w:r>
  </w:p>
  <w:p w:rsidR="00342D7D" w:rsidRDefault="00A32707">
    <w:pPr>
      <w:pStyle w:val="Encabezado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Año Internacional para la Eliminación</w:t>
    </w:r>
  </w:p>
  <w:p w:rsidR="00342D7D" w:rsidRDefault="00A32707">
    <w:pPr>
      <w:pStyle w:val="Encabezado"/>
      <w:rPr>
        <w:rFonts w:asciiTheme="minorHAnsi" w:hAnsiTheme="minorHAnsi" w:cstheme="minorHAnsi"/>
        <w:sz w:val="20"/>
        <w:szCs w:val="20"/>
      </w:rPr>
    </w:pPr>
    <w:proofErr w:type="gramStart"/>
    <w:r>
      <w:rPr>
        <w:rFonts w:asciiTheme="minorHAnsi" w:hAnsiTheme="minorHAnsi" w:cstheme="minorHAnsi"/>
        <w:sz w:val="20"/>
        <w:szCs w:val="20"/>
      </w:rPr>
      <w:t>del</w:t>
    </w:r>
    <w:proofErr w:type="gramEnd"/>
    <w:r>
      <w:rPr>
        <w:rFonts w:asciiTheme="minorHAnsi" w:hAnsiTheme="minorHAnsi" w:cstheme="minorHAnsi"/>
        <w:sz w:val="20"/>
        <w:szCs w:val="20"/>
      </w:rPr>
      <w:t xml:space="preserve"> Trabajo Infantil</w:t>
    </w:r>
  </w:p>
  <w:p w:rsidR="00342D7D" w:rsidRDefault="00342D7D">
    <w:pPr>
      <w:pStyle w:val="Encabezado"/>
      <w:rPr>
        <w:rFonts w:asciiTheme="minorHAnsi" w:hAnsiTheme="minorHAnsi" w:cstheme="minorHAnsi"/>
      </w:rPr>
    </w:pPr>
  </w:p>
  <w:bookmarkEnd w:id="1"/>
  <w:bookmarkEnd w:id="2"/>
  <w:p w:rsidR="00342D7D" w:rsidRDefault="00342D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305B16"/>
    <w:rsid w:val="00315D70"/>
    <w:rsid w:val="00342D7D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53B33"/>
    <w:rsid w:val="006863CA"/>
    <w:rsid w:val="006C32D2"/>
    <w:rsid w:val="0073754B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B0A39"/>
    <w:rsid w:val="00A177F4"/>
    <w:rsid w:val="00A32707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  <w:rsid w:val="0B15183B"/>
    <w:rsid w:val="10153600"/>
    <w:rsid w:val="1953245C"/>
    <w:rsid w:val="25924FCC"/>
    <w:rsid w:val="26C04DA2"/>
    <w:rsid w:val="28D16957"/>
    <w:rsid w:val="2AF6669A"/>
    <w:rsid w:val="31B143BC"/>
    <w:rsid w:val="454D382B"/>
    <w:rsid w:val="4E1E42CE"/>
    <w:rsid w:val="6D907375"/>
    <w:rsid w:val="7CB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unhideWhenUsed/>
    <w:qFormat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semiHidden/>
    <w:unhideWhenUsed/>
    <w:qFormat/>
    <w:pPr>
      <w:spacing w:after="120"/>
      <w:ind w:left="283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semiHidden/>
    <w:unhideWhenUsed/>
    <w:qFormat/>
    <w:pPr>
      <w:spacing w:after="120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qFormat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semiHidden/>
    <w:unhideWhenUsed/>
    <w:qFormat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semiHidden/>
    <w:unhideWhenUsed/>
    <w:qFormat/>
    <w:pPr>
      <w:spacing w:after="120"/>
      <w:ind w:left="283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semiHidden/>
    <w:unhideWhenUsed/>
    <w:qFormat/>
    <w:pPr>
      <w:spacing w:after="120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qFormat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qFormat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87FB9F-15DE-47BA-9FE7-BE64C46A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3104</Characters>
  <Application>Microsoft Office Word</Application>
  <DocSecurity>0</DocSecurity>
  <Lines>25</Lines>
  <Paragraphs>7</Paragraphs>
  <ScaleCrop>false</ScaleCrop>
  <Company>Municipalidad de Godoy Cruz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3</cp:revision>
  <cp:lastPrinted>2021-03-23T12:15:00Z</cp:lastPrinted>
  <dcterms:created xsi:type="dcterms:W3CDTF">2021-03-23T12:45:00Z</dcterms:created>
  <dcterms:modified xsi:type="dcterms:W3CDTF">2021-10-06T13:43:00Z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2058-11.2.0.10323</vt:lpwstr>
  </property>
  <property fmtid="{D5CDD505-2E9C-101B-9397-08002B2CF9AE}" pid="3" name="ICV">
    <vt:lpwstr>9DC29FD2948E4ADB97A3B9E3774FB4A7</vt:lpwstr>
  </property>
</Properties>
</file>