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7188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Expte. Nº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>2021-000079/H1-GC, caratulado: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 xml:space="preserve"> 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>Bloque Frente Cambia Mendoza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 xml:space="preserve"> -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 xml:space="preserve"> C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>ONC.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 xml:space="preserve"> LEONARDO MASTRANGELO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 xml:space="preserve"> -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 xml:space="preserve"> C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>ONC.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 xml:space="preserve"> EMILIA MOLINA 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 xml:space="preserve">- 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>E/ PROYECTO ADHESI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>Ó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 xml:space="preserve">N LEY DE EDUCACIÓN AMBIENTAL INTEGRAL 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  <w:lang w:val="es-MX"/>
        </w:rPr>
        <w:t xml:space="preserve">N° </w:t>
      </w:r>
      <w:r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highlight w:val="white"/>
          <w:rtl w:val="0"/>
        </w:rPr>
        <w:t xml:space="preserve">27621 ; y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Que por las presentes actuaciones el Concejal Leonardo Mastrangelo y la Concejala Emilia Molina elevan un proyecto de adhesión a  ley de Educación Ambiental Integral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highlight w:val="white"/>
          <w:rtl w:val="0"/>
          <w:lang w:val="es-MX"/>
        </w:rPr>
        <w:t xml:space="preserve">N° </w:t>
      </w: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27621.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Que la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highlight w:val="white"/>
          <w:rtl w:val="0"/>
          <w:lang w:val="es-MX"/>
        </w:rPr>
        <w:t>L</w:t>
      </w: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ey 25.675 establece los presupuestos mínimos para el logro de una gestión sustentable y adecuada del ambiente, la preservación y protección de la diversidad biológica y la implementación del desarrollo sostenible en Argentina. Asimismo, establece un marco general sobre información y participación en asuntos ambientales, la responsabilidad por daño ambiental y la educación ambiental.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los Objetivos del Desarrollo Sostenible números 4 y 13 se refieren a una educación de calidad inclusiva y equitativa y a tomar medidas urgentes para combatir el cambio climático y sus efectos.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la Municipalidad de Godoy Cruz impulsa el cuidado del ambiente formando parte de la Red Argentina de Municipios Contra el Cambio Climático.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Que en ese mismo sentido la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highlight w:val="white"/>
          <w:rtl w:val="0"/>
          <w:lang w:val="es-MX"/>
        </w:rPr>
        <w:t>O</w:t>
      </w: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rdenanza 6995/19 de protección del ambiente y presupuestos mínimos para la gestión del cambio climático a nivel local en su artículo quinto establece a la educación ambiental como instrumento de política y gestión del cambio climático.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Que asimismo, el artículo ocho de dicha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highlight w:val="white"/>
          <w:rtl w:val="0"/>
          <w:lang w:val="es-MX"/>
        </w:rPr>
        <w:t>O</w:t>
      </w: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rdenanza, busca promover una mayor conciencia del cuidado del ambiente entre las y los habitantes del Departamento a través de la participación en la difusión, ejecución, seguimiento y eventual modificación del Plan Local de Acción Climática.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el cuidado del ambiente configure una responsabilidad de toda la ciudadanía.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en este sentido se considera fundamental la formación ambiental de los ciudadanos y las ciudadanas para lograr individuos conscientes y responsables de su entorno ecológico y así poder entender e involucrarse en las problemáticas ambientales de su comunidad.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recientemente se ha sancionado en el Congreso de la Nación una ley 27.621 de Educación Ambiental Integral encaminada a formar generaciones más respetuosas de la biodiversidad de la tierra y más eficiente en sus consumos.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</w:p>
    <w:p>
      <w:pPr>
        <w:wordWrap w:val="0"/>
        <w:jc w:val="right"/>
        <w:rPr>
          <w:rFonts w:hint="default" w:ascii="Calibri" w:hAnsi="Calibri" w:eastAsia="Calibri" w:cs="Calibri"/>
          <w:b/>
          <w:bCs/>
          <w:i w:val="0"/>
          <w:iCs w:val="0"/>
          <w:sz w:val="22"/>
          <w:szCs w:val="22"/>
          <w:highlight w:val="white"/>
          <w:u w:val="single"/>
          <w:rtl w:val="0"/>
          <w:lang w:val="es-MX"/>
        </w:rPr>
      </w:pPr>
      <w:r>
        <w:rPr>
          <w:rFonts w:hint="default" w:ascii="Calibri" w:hAnsi="Calibri" w:eastAsia="Calibri" w:cs="Calibri"/>
          <w:b/>
          <w:bCs/>
          <w:i w:val="0"/>
          <w:iCs w:val="0"/>
          <w:sz w:val="22"/>
          <w:szCs w:val="22"/>
          <w:highlight w:val="white"/>
          <w:u w:val="single"/>
          <w:rtl w:val="0"/>
          <w:lang w:val="es-MX"/>
        </w:rPr>
        <w:t>HOJA N° 02</w:t>
      </w:r>
    </w:p>
    <w:p>
      <w:pPr>
        <w:wordWrap w:val="0"/>
        <w:jc w:val="right"/>
        <w:rPr>
          <w:rFonts w:hint="default" w:ascii="Calibri" w:hAnsi="Calibri" w:eastAsia="Calibri" w:cs="Calibri"/>
          <w:b/>
          <w:bCs/>
          <w:i w:val="0"/>
          <w:iCs w:val="0"/>
          <w:sz w:val="22"/>
          <w:szCs w:val="22"/>
          <w:highlight w:val="white"/>
          <w:u w:val="single"/>
          <w:rtl w:val="0"/>
          <w:lang w:val="es-MX"/>
        </w:rPr>
      </w:pPr>
      <w:r>
        <w:rPr>
          <w:rFonts w:hint="default" w:ascii="Calibri" w:hAnsi="Calibri" w:eastAsia="Calibri" w:cs="Calibri"/>
          <w:b/>
          <w:bCs/>
          <w:i w:val="0"/>
          <w:iCs w:val="0"/>
          <w:sz w:val="22"/>
          <w:szCs w:val="22"/>
          <w:highlight w:val="white"/>
          <w:u w:val="single"/>
          <w:rtl w:val="0"/>
          <w:lang w:val="es-MX"/>
        </w:rPr>
        <w:t>ORDENANZA N° 7188/2021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dicha norma establece la creación de una Estrategia Nacional de Educación Ambiental Integral, que se ocupará de aplicar y planificar los contenidos, los cuales serán construidos en conjunto por el COFEMA y un Consejo Consultivo integrado por representantes de diversas instituciones.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Calibri" w:hAnsi="Calibri" w:eastAsia="Calibri" w:cs="Calibri"/>
          <w:i w:val="0"/>
          <w:iCs w:val="0"/>
          <w:sz w:val="22"/>
          <w:szCs w:val="22"/>
          <w:highlight w:val="whit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highlight w:val="white"/>
          <w:rtl w:val="0"/>
        </w:rPr>
        <w:t>Que se agrega informe de la Dirección de Ambiente y Energía  donde expresa que esa dependencia  considera oportuno la adhesión a la Ley de Educación Ambiental Integral Nº27.621, en los términos de competencia municipal.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</w:t>
      </w:r>
    </w:p>
    <w:p>
      <w:pPr>
        <w:spacing w:before="240" w:line="276" w:lineRule="auto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u w:val="single"/>
          <w:rtl w:val="0"/>
        </w:rPr>
        <w:t>ADHESIÓN: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 xml:space="preserve"> Adhiérase a la Ley Nacional Nº 27621 de Educación Ambiental Integral.</w:t>
      </w:r>
    </w:p>
    <w:p>
      <w:pPr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 xml:space="preserve"> </w:t>
      </w:r>
    </w:p>
    <w:p>
      <w:pPr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</w:pPr>
      <w:r>
        <w:rPr>
          <w:rFonts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rtl w:val="0"/>
        </w:rPr>
        <w:t>ARTÍCULO 2</w:t>
      </w: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highlight w:val="white"/>
          <w:u w:val="single"/>
          <w:rtl w:val="0"/>
          <w:lang w:val="es-MX"/>
        </w:rPr>
        <w:t>: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u w:val="single"/>
          <w:rtl w:val="0"/>
        </w:rPr>
        <w:t>AUTORIDAD DE APLICACIÓN: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  <w:rtl w:val="0"/>
        </w:rPr>
        <w:t xml:space="preserve"> El Departamento Ejecutivo determinará la autoridad de aplicación, la cual deberá llevar a cabo las acciones de educación y gestión ambiental en los ámbitos formales, no formales e informales en lo que resulte a su competencia, conforme a lo establecido por la norma nacional.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u w:val="single"/>
          <w:rtl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Theme="minorHAnsi" w:hAnsiTheme="minorHAnsi" w:cstheme="minorHAnsi"/>
          <w:b w:val="0"/>
          <w:bCs/>
          <w:i w:val="0"/>
          <w:iCs w:val="0"/>
          <w:sz w:val="22"/>
          <w:szCs w:val="22"/>
          <w:lang w:val="es-MX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u w:val="single"/>
          <w:rtl w:val="0"/>
        </w:rPr>
        <w:t xml:space="preserve">ARTÍCULO </w:t>
      </w:r>
      <w:r>
        <w:rPr>
          <w:rFonts w:hint="default" w:ascii="Calibri" w:hAnsi="Calibri" w:eastAsia="Calibri" w:cs="Calibri"/>
          <w:b/>
          <w:i w:val="0"/>
          <w:iCs w:val="0"/>
          <w:sz w:val="22"/>
          <w:szCs w:val="22"/>
          <w:highlight w:val="white"/>
          <w:u w:val="single"/>
          <w:rtl w:val="0"/>
          <w:lang w:val="es-MX"/>
        </w:rPr>
        <w:t>3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  <w:highlight w:val="white"/>
          <w:rtl w:val="0"/>
        </w:rPr>
        <w:t xml:space="preserve">: </w:t>
      </w:r>
      <w:r>
        <w:rPr>
          <w:rFonts w:hint="default"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rtl w:val="0"/>
          <w:lang w:val="es-MX"/>
        </w:rPr>
        <w:t>Comuníquese al Departamento Ejecutivo, dése al registro municipal respectivo, publíquese y cumplido archívese.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SETIEMBRE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bookmarkStart w:id="2" w:name="_GoBack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2E8D5591"/>
    <w:rsid w:val="3A3379BE"/>
    <w:rsid w:val="47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2</Pages>
  <Words>535</Words>
  <Characters>2966</Characters>
  <Lines>12</Lines>
  <Paragraphs>3</Paragraphs>
  <TotalTime>16</TotalTime>
  <ScaleCrop>false</ScaleCrop>
  <LinksUpToDate>false</LinksUpToDate>
  <CharactersWithSpaces>3494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2021-09-06T16:42:27Z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