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jc w:val="right"/>
        <w:textAlignment w:val="auto"/>
        <w:rPr>
          <w:rFonts w:asciiTheme="minorHAnsi" w:hAnsiTheme="minorHAnsi" w:cstheme="minorHAnsi"/>
          <w:b/>
          <w:bCs/>
          <w:sz w:val="20"/>
          <w:szCs w:val="20"/>
          <w:u w:val="single"/>
        </w:rPr>
      </w:pPr>
      <w:r>
        <w:rPr>
          <w:rFonts w:hint="default" w:asciiTheme="minorHAnsi" w:hAnsiTheme="minorHAnsi" w:cstheme="minorHAnsi"/>
          <w:b/>
          <w:bCs/>
          <w:sz w:val="20"/>
          <w:szCs w:val="20"/>
          <w:u w:val="single"/>
          <w:lang w:val="es-MX"/>
        </w:rPr>
        <w:t>ORDENANZA</w:t>
      </w:r>
      <w:r>
        <w:rPr>
          <w:rFonts w:asciiTheme="minorHAnsi" w:hAnsiTheme="minorHAnsi" w:cstheme="minorHAnsi"/>
          <w:b/>
          <w:bCs/>
          <w:sz w:val="20"/>
          <w:szCs w:val="20"/>
          <w:u w:val="single"/>
        </w:rPr>
        <w:t xml:space="preserve"> N° </w:t>
      </w:r>
      <w:r>
        <w:rPr>
          <w:rFonts w:hint="default" w:asciiTheme="minorHAnsi" w:hAnsiTheme="minorHAnsi" w:cstheme="minorHAnsi"/>
          <w:b/>
          <w:bCs/>
          <w:sz w:val="20"/>
          <w:szCs w:val="20"/>
          <w:u w:val="single"/>
          <w:lang w:val="es-MX"/>
        </w:rPr>
        <w:t>7186</w:t>
      </w:r>
      <w:r>
        <w:rPr>
          <w:rFonts w:asciiTheme="minorHAnsi" w:hAnsiTheme="minorHAnsi" w:cstheme="minorHAnsi"/>
          <w:b/>
          <w:bCs/>
          <w:sz w:val="20"/>
          <w:szCs w:val="20"/>
          <w:u w:val="single"/>
        </w:rPr>
        <w:t>/2021</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b/>
          <w:bCs/>
          <w:sz w:val="20"/>
          <w:szCs w:val="20"/>
          <w:u w:val="single"/>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sz w:val="20"/>
          <w:szCs w:val="20"/>
        </w:rPr>
      </w:pPr>
      <w:r>
        <w:rPr>
          <w:rFonts w:asciiTheme="minorHAnsi" w:hAnsiTheme="minorHAnsi" w:cstheme="minorHAnsi"/>
          <w:b/>
          <w:bCs/>
          <w:sz w:val="20"/>
          <w:szCs w:val="20"/>
          <w:u w:val="single"/>
        </w:rPr>
        <w:t>VISTO:</w:t>
      </w:r>
      <w:r>
        <w:rPr>
          <w:rFonts w:asciiTheme="minorHAnsi" w:hAnsiTheme="minorHAnsi" w:cstheme="minorHAnsi"/>
          <w:sz w:val="20"/>
          <w:szCs w:val="20"/>
        </w:rPr>
        <w:t xml:space="preserve"> </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sz w:val="20"/>
          <w:szCs w:val="20"/>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sz w:val="20"/>
          <w:szCs w:val="20"/>
        </w:rPr>
      </w:pPr>
      <w:r>
        <w:rPr>
          <w:rFonts w:asciiTheme="minorHAnsi" w:hAnsiTheme="minorHAnsi" w:cstheme="minorHAnsi"/>
          <w:sz w:val="20"/>
          <w:szCs w:val="20"/>
        </w:rPr>
        <w:t>El Expte. Nº</w:t>
      </w:r>
      <w:r>
        <w:rPr>
          <w:rFonts w:asciiTheme="minorHAnsi" w:hAnsiTheme="minorHAnsi" w:cstheme="minorHAnsi"/>
          <w:b w:val="0"/>
          <w:bCs w:val="0"/>
          <w:i w:val="0"/>
          <w:iCs w:val="0"/>
          <w:sz w:val="20"/>
          <w:szCs w:val="20"/>
        </w:rPr>
        <w:t xml:space="preserve"> </w:t>
      </w:r>
      <w:r>
        <w:rPr>
          <w:rFonts w:ascii="Calibri" w:hAnsi="Calibri" w:eastAsia="Calibri" w:cs="Calibri"/>
          <w:b w:val="0"/>
          <w:bCs/>
          <w:sz w:val="20"/>
          <w:szCs w:val="20"/>
          <w:highlight w:val="white"/>
          <w:rtl w:val="0"/>
        </w:rPr>
        <w:t xml:space="preserve">2018-E-4704, caratulado:  FRIO LATINA S.A. NOTA Nº 4855-E-18 </w:t>
      </w:r>
      <w:r>
        <w:rPr>
          <w:rFonts w:hint="default" w:ascii="Calibri" w:hAnsi="Calibri" w:eastAsia="Calibri" w:cs="Calibri"/>
          <w:b w:val="0"/>
          <w:bCs/>
          <w:sz w:val="20"/>
          <w:szCs w:val="20"/>
          <w:highlight w:val="white"/>
          <w:rtl w:val="0"/>
          <w:lang w:val="es-MX"/>
        </w:rPr>
        <w:t xml:space="preserve">- </w:t>
      </w:r>
      <w:r>
        <w:rPr>
          <w:rFonts w:ascii="Calibri" w:hAnsi="Calibri" w:eastAsia="Calibri" w:cs="Calibri"/>
          <w:b w:val="0"/>
          <w:bCs/>
          <w:sz w:val="20"/>
          <w:szCs w:val="20"/>
          <w:highlight w:val="white"/>
          <w:rtl w:val="0"/>
        </w:rPr>
        <w:t>ELEMENTO CONSTRUCTIVO PANEL PARA ENTREPISO;  y</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sz w:val="20"/>
          <w:szCs w:val="20"/>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sz w:val="20"/>
          <w:szCs w:val="20"/>
        </w:rPr>
      </w:pPr>
      <w:r>
        <w:rPr>
          <w:rFonts w:asciiTheme="minorHAnsi" w:hAnsiTheme="minorHAnsi" w:cstheme="minorHAnsi"/>
          <w:b/>
          <w:bCs/>
          <w:sz w:val="20"/>
          <w:szCs w:val="20"/>
          <w:u w:val="single"/>
        </w:rPr>
        <w:t>CONSIDERANDO:</w:t>
      </w:r>
      <w:r>
        <w:rPr>
          <w:rFonts w:asciiTheme="minorHAnsi" w:hAnsiTheme="minorHAnsi" w:cstheme="minorHAnsi"/>
          <w:sz w:val="20"/>
          <w:szCs w:val="20"/>
        </w:rPr>
        <w:t xml:space="preserve"> </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r>
        <w:rPr>
          <w:rFonts w:ascii="Calibri" w:hAnsi="Calibri" w:eastAsia="Calibri" w:cs="Calibri"/>
          <w:b w:val="0"/>
          <w:bCs/>
          <w:sz w:val="20"/>
          <w:szCs w:val="20"/>
          <w:highlight w:val="white"/>
          <w:rtl w:val="0"/>
        </w:rPr>
        <w:t>Que por las presentes actuaciones el Departamento Ejecutivo eleva a consideración del  Cuerpo el sistema constructivo  no tradicional denominado “PANEL ENTREPISO“, presentado por la firma FRIO LATINA S.A..</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r>
        <w:rPr>
          <w:rFonts w:ascii="Calibri" w:hAnsi="Calibri" w:eastAsia="Calibri" w:cs="Calibri"/>
          <w:b w:val="0"/>
          <w:bCs/>
          <w:sz w:val="20"/>
          <w:szCs w:val="20"/>
          <w:highlight w:val="white"/>
          <w:rtl w:val="0"/>
        </w:rPr>
        <w:t>Que el sistema está constituido por dos perfiles C de chapa galvanizada conformada en frío, de dimensiones 120X50X15X2 (Altura x Ancho de Ala  x Labio x Espesor de chapa) de acero de calidad F24 vinculados entre sí por medio de espuma poliuretánica, contenida en su cara inferior por una chapa conformada de espesor de 0,5 mm.</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r>
        <w:rPr>
          <w:rFonts w:ascii="Calibri" w:hAnsi="Calibri" w:eastAsia="Calibri" w:cs="Calibri"/>
          <w:b w:val="0"/>
          <w:bCs/>
          <w:sz w:val="20"/>
          <w:szCs w:val="20"/>
          <w:highlight w:val="white"/>
          <w:rtl w:val="0"/>
        </w:rPr>
        <w:t>Que de fs. 02 a 128, obran distintos antecedente e informes aportados por la firma Frío Latina S.A. que dan lugar al pedido de aprobación del sistema constructivo mencionado.</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r>
        <w:rPr>
          <w:rFonts w:ascii="Calibri" w:hAnsi="Calibri" w:eastAsia="Calibri" w:cs="Calibri"/>
          <w:b w:val="0"/>
          <w:bCs/>
          <w:sz w:val="20"/>
          <w:szCs w:val="20"/>
          <w:highlight w:val="white"/>
          <w:rtl w:val="0"/>
        </w:rPr>
        <w:t>Que del análisis técnico efectuado por la  Dirección de Obras Particulares, el mismo arrojó  distintas observaciones que oportunamente fueron subsanadas con las  presentaciones realizadas por los profesionales intervinientes a través de las distintas certificaciones otorgadas por la Instituciones competentes.</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r>
        <w:rPr>
          <w:rFonts w:ascii="Calibri" w:hAnsi="Calibri" w:eastAsia="Calibri" w:cs="Calibri"/>
          <w:b w:val="0"/>
          <w:bCs/>
          <w:sz w:val="20"/>
          <w:szCs w:val="20"/>
          <w:highlight w:val="white"/>
          <w:rtl w:val="0"/>
        </w:rPr>
        <w:t>Por todo lo antes expuesto, se estima procedente la aprobación del sistema constructivo no tradicional denominado “PANEL ENTREPISO” presentado por la Firma FRIO LATINA S.A..</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sz w:val="20"/>
          <w:szCs w:val="20"/>
        </w:rPr>
      </w:pPr>
      <w:r>
        <w:rPr>
          <w:rFonts w:asciiTheme="minorHAnsi" w:hAnsiTheme="minorHAnsi" w:cstheme="minorHAnsi"/>
          <w:b/>
          <w:bCs/>
          <w:sz w:val="20"/>
          <w:szCs w:val="20"/>
          <w:u w:val="single"/>
        </w:rPr>
        <w:t>POR ELLO:</w:t>
      </w:r>
      <w:r>
        <w:rPr>
          <w:rFonts w:asciiTheme="minorHAnsi" w:hAnsiTheme="minorHAnsi" w:cstheme="minorHAnsi"/>
          <w:sz w:val="20"/>
          <w:szCs w:val="20"/>
        </w:rPr>
        <w:t xml:space="preserve"> </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sz w:val="20"/>
          <w:szCs w:val="20"/>
        </w:rPr>
      </w:pPr>
    </w:p>
    <w:p>
      <w:pPr>
        <w:keepNext w:val="0"/>
        <w:keepLines w:val="0"/>
        <w:pageBreakBefore w:val="0"/>
        <w:widowControl/>
        <w:kinsoku/>
        <w:wordWrap/>
        <w:overflowPunct/>
        <w:topLinePunct w:val="0"/>
        <w:autoSpaceDE/>
        <w:autoSpaceDN/>
        <w:bidi w:val="0"/>
        <w:adjustRightInd/>
        <w:snapToGrid/>
        <w:spacing w:after="0"/>
        <w:jc w:val="center"/>
        <w:textAlignment w:val="auto"/>
        <w:rPr>
          <w:rFonts w:asciiTheme="minorHAnsi" w:hAnsiTheme="minorHAnsi" w:cstheme="minorHAnsi"/>
          <w:b/>
          <w:bCs/>
          <w:sz w:val="20"/>
          <w:szCs w:val="20"/>
        </w:rPr>
      </w:pPr>
      <w:r>
        <w:rPr>
          <w:rFonts w:asciiTheme="minorHAnsi" w:hAnsiTheme="minorHAnsi" w:cstheme="minorHAnsi"/>
          <w:b/>
          <w:bCs/>
          <w:sz w:val="20"/>
          <w:szCs w:val="20"/>
        </w:rPr>
        <w:t>EL HONORABLE CONCEJO DELIBERANTE DE GODOY CRUZ</w:t>
      </w:r>
    </w:p>
    <w:p>
      <w:pPr>
        <w:keepNext w:val="0"/>
        <w:keepLines w:val="0"/>
        <w:pageBreakBefore w:val="0"/>
        <w:widowControl/>
        <w:kinsoku/>
        <w:wordWrap/>
        <w:overflowPunct/>
        <w:topLinePunct w:val="0"/>
        <w:autoSpaceDE/>
        <w:autoSpaceDN/>
        <w:bidi w:val="0"/>
        <w:adjustRightInd/>
        <w:snapToGrid/>
        <w:spacing w:after="0"/>
        <w:jc w:val="center"/>
        <w:textAlignment w:val="auto"/>
        <w:rPr>
          <w:rFonts w:asciiTheme="minorHAnsi" w:hAnsiTheme="minorHAnsi" w:cstheme="minorHAnsi"/>
          <w:b/>
          <w:bCs/>
          <w:sz w:val="20"/>
          <w:szCs w:val="20"/>
        </w:rPr>
      </w:pP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heme="minorHAnsi" w:hAnsiTheme="minorHAnsi" w:cstheme="minorHAnsi"/>
          <w:b/>
          <w:bCs/>
          <w:sz w:val="20"/>
          <w:szCs w:val="20"/>
          <w:u w:val="single"/>
          <w:lang w:val="es-MX"/>
        </w:rPr>
      </w:pPr>
      <w:r>
        <w:rPr>
          <w:rFonts w:hint="default" w:asciiTheme="minorHAnsi" w:hAnsiTheme="minorHAnsi" w:cstheme="minorHAnsi"/>
          <w:b/>
          <w:bCs/>
          <w:sz w:val="20"/>
          <w:szCs w:val="20"/>
          <w:u w:val="single"/>
          <w:lang w:val="es-MX"/>
        </w:rPr>
        <w:t>ORDENA</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r>
        <w:rPr>
          <w:rFonts w:hint="default" w:ascii="Calibri" w:hAnsi="Calibri" w:cs="Calibri"/>
          <w:b/>
          <w:bCs/>
          <w:i w:val="0"/>
          <w:iCs w:val="0"/>
          <w:sz w:val="20"/>
          <w:szCs w:val="20"/>
          <w:u w:val="single"/>
        </w:rPr>
        <w:t>ARTÍCULO 1:</w:t>
      </w:r>
      <w:r>
        <w:rPr>
          <w:rFonts w:hint="default" w:ascii="Calibri" w:hAnsi="Calibri" w:cs="Calibri"/>
          <w:b w:val="0"/>
          <w:bCs w:val="0"/>
          <w:i w:val="0"/>
          <w:iCs w:val="0"/>
          <w:sz w:val="20"/>
          <w:szCs w:val="20"/>
          <w:u w:val="none"/>
          <w:lang w:val="es-MX"/>
        </w:rPr>
        <w:t xml:space="preserve"> </w:t>
      </w:r>
      <w:r>
        <w:rPr>
          <w:rFonts w:ascii="Calibri" w:hAnsi="Calibri" w:eastAsia="Calibri" w:cs="Calibri"/>
          <w:b w:val="0"/>
          <w:bCs/>
          <w:sz w:val="20"/>
          <w:szCs w:val="20"/>
          <w:highlight w:val="white"/>
          <w:rtl w:val="0"/>
        </w:rPr>
        <w:t>Apruébase el sistema constructivo no tradicional denominado “PANEL ENTREPISO  SELF SUPPORTING FLOOR PANEL SPF”, presentado por la firma FRIO LATINO S.A. para ser utilizado en la construcción de viviendas unifamiliares, conforme a especificaciones técnicas expresadas en la presente pieza administrativa.</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Calibri" w:hAnsi="Calibri" w:eastAsia="Calibri" w:cs="Calibri"/>
          <w:b w:val="0"/>
          <w:bCs/>
          <w:sz w:val="20"/>
          <w:szCs w:val="20"/>
          <w:highlight w:val="white"/>
          <w:rtl w:val="0"/>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Calibri" w:hAnsi="Calibri" w:eastAsia="Calibri" w:cs="Calibri"/>
          <w:b w:val="0"/>
          <w:bCs/>
          <w:sz w:val="20"/>
          <w:szCs w:val="20"/>
          <w:highlight w:val="white"/>
          <w:rtl w:val="0"/>
          <w:lang w:val="es-MX"/>
        </w:rPr>
      </w:pPr>
      <w:r>
        <w:rPr>
          <w:rFonts w:ascii="Calibri" w:hAnsi="Calibri" w:eastAsia="Calibri" w:cs="Calibri"/>
          <w:b/>
          <w:sz w:val="20"/>
          <w:szCs w:val="20"/>
          <w:highlight w:val="white"/>
          <w:u w:val="single"/>
          <w:rtl w:val="0"/>
        </w:rPr>
        <w:t>ART</w:t>
      </w:r>
      <w:r>
        <w:rPr>
          <w:rFonts w:hint="default" w:ascii="Calibri" w:hAnsi="Calibri" w:eastAsia="Calibri" w:cs="Calibri"/>
          <w:b/>
          <w:sz w:val="20"/>
          <w:szCs w:val="20"/>
          <w:highlight w:val="white"/>
          <w:u w:val="single"/>
          <w:rtl w:val="0"/>
          <w:lang w:val="es-MX"/>
        </w:rPr>
        <w:t>ÍCULO</w:t>
      </w:r>
      <w:r>
        <w:rPr>
          <w:rFonts w:ascii="Calibri" w:hAnsi="Calibri" w:eastAsia="Calibri" w:cs="Calibri"/>
          <w:b/>
          <w:sz w:val="20"/>
          <w:szCs w:val="20"/>
          <w:highlight w:val="white"/>
          <w:u w:val="single"/>
          <w:rtl w:val="0"/>
        </w:rPr>
        <w:t xml:space="preserve"> 2</w:t>
      </w:r>
      <w:r>
        <w:rPr>
          <w:rFonts w:ascii="Calibri" w:hAnsi="Calibri" w:eastAsia="Calibri" w:cs="Calibri"/>
          <w:b/>
          <w:sz w:val="20"/>
          <w:szCs w:val="20"/>
          <w:highlight w:val="white"/>
          <w:rtl w:val="0"/>
        </w:rPr>
        <w:t xml:space="preserve">:  </w:t>
      </w:r>
      <w:r>
        <w:rPr>
          <w:rFonts w:ascii="Calibri" w:hAnsi="Calibri" w:eastAsia="Calibri" w:cs="Calibri"/>
          <w:b w:val="0"/>
          <w:bCs/>
          <w:sz w:val="20"/>
          <w:szCs w:val="20"/>
          <w:highlight w:val="white"/>
          <w:rtl w:val="0"/>
        </w:rPr>
        <w:t>La aprobación enunciada por el artículo primero será  a prueba por un período de un año a partir de la notificación de la presente Ordenanza, conforme  a la sugerencia expresada por Dirección de Obras Particulares a fs. 131 del expte.  4704-E-2018</w:t>
      </w:r>
      <w:r>
        <w:rPr>
          <w:rFonts w:hint="default" w:ascii="Calibri" w:hAnsi="Calibri" w:eastAsia="Calibri" w:cs="Calibri"/>
          <w:b w:val="0"/>
          <w:bCs/>
          <w:sz w:val="20"/>
          <w:szCs w:val="20"/>
          <w:highlight w:val="white"/>
          <w:rtl w:val="0"/>
          <w:lang w:val="es-MX"/>
        </w:rPr>
        <w:t>.</w:t>
      </w:r>
    </w:p>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Calibri" w:hAnsi="Calibri" w:eastAsia="Calibri" w:cs="Calibri"/>
          <w:b w:val="0"/>
          <w:bCs/>
          <w:sz w:val="20"/>
          <w:szCs w:val="20"/>
          <w:highlight w:val="white"/>
          <w:rtl w:val="0"/>
          <w:lang w:val="es-MX"/>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ARTÍCULO </w:t>
      </w:r>
      <w:r>
        <w:rPr>
          <w:rFonts w:hint="default" w:asciiTheme="minorHAnsi" w:hAnsiTheme="minorHAnsi" w:cstheme="minorHAnsi"/>
          <w:b/>
          <w:bCs/>
          <w:sz w:val="20"/>
          <w:szCs w:val="20"/>
          <w:u w:val="single"/>
          <w:lang w:val="es-MX"/>
        </w:rPr>
        <w:t>3</w:t>
      </w:r>
      <w:r>
        <w:rPr>
          <w:rFonts w:asciiTheme="minorHAnsi" w:hAnsiTheme="minorHAnsi" w:cstheme="minorHAnsi"/>
          <w:b/>
          <w:bCs/>
          <w:sz w:val="20"/>
          <w:szCs w:val="20"/>
          <w:u w:val="single"/>
        </w:rPr>
        <w:t>:</w:t>
      </w:r>
      <w:r>
        <w:rPr>
          <w:rFonts w:asciiTheme="minorHAnsi" w:hAnsiTheme="minorHAnsi" w:cstheme="minorHAnsi"/>
          <w:sz w:val="20"/>
          <w:szCs w:val="20"/>
        </w:rPr>
        <w:t xml:space="preserve"> </w:t>
      </w:r>
      <w:r>
        <w:rPr>
          <w:rFonts w:hint="default" w:asciiTheme="minorHAnsi" w:hAnsiTheme="minorHAnsi" w:cstheme="minorHAnsi"/>
          <w:sz w:val="20"/>
          <w:szCs w:val="20"/>
          <w:lang w:val="es-MX"/>
        </w:rPr>
        <w:t>Comuníquese al Departamento Ejecutivo, dése al registro municipal respectivo, publíquese y cumplido, a</w:t>
      </w:r>
      <w:r>
        <w:rPr>
          <w:rFonts w:asciiTheme="minorHAnsi" w:hAnsiTheme="minorHAnsi" w:cstheme="minorHAnsi"/>
          <w:sz w:val="20"/>
          <w:szCs w:val="20"/>
        </w:rPr>
        <w:t>rchívese.</w:t>
      </w:r>
      <w:r>
        <w:rPr>
          <w:rFonts w:asciiTheme="minorHAnsi" w:hAnsiTheme="minorHAnsi" w:cstheme="minorHAnsi"/>
          <w:b/>
          <w:bCs/>
          <w:sz w:val="20"/>
          <w:szCs w:val="20"/>
          <w:u w:val="single"/>
        </w:rPr>
        <w:t xml:space="preserve"> </w:t>
      </w:r>
    </w:p>
    <w:p>
      <w:pPr>
        <w:keepNext w:val="0"/>
        <w:keepLines w:val="0"/>
        <w:pageBreakBefore w:val="0"/>
        <w:widowControl/>
        <w:kinsoku/>
        <w:wordWrap/>
        <w:overflowPunct/>
        <w:topLinePunct w:val="0"/>
        <w:autoSpaceDE/>
        <w:autoSpaceDN/>
        <w:bidi w:val="0"/>
        <w:adjustRightInd/>
        <w:snapToGrid/>
        <w:spacing w:after="0"/>
        <w:jc w:val="left"/>
        <w:textAlignment w:val="auto"/>
        <w:rPr>
          <w:rFonts w:asciiTheme="minorHAnsi" w:hAnsiTheme="minorHAnsi" w:cstheme="minorHAnsi"/>
          <w:b w:val="0"/>
          <w:bCs w:val="0"/>
          <w:sz w:val="20"/>
          <w:szCs w:val="20"/>
          <w:u w:val="none"/>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Theme="minorHAnsi" w:hAnsiTheme="minorHAnsi" w:cstheme="minorHAnsi"/>
          <w:sz w:val="20"/>
          <w:szCs w:val="20"/>
          <w:lang w:val="es-MX"/>
        </w:rPr>
      </w:pPr>
      <w:r>
        <w:rPr>
          <w:rFonts w:hint="default" w:asciiTheme="minorHAnsi" w:hAnsiTheme="minorHAnsi" w:cstheme="minorHAnsi"/>
          <w:sz w:val="20"/>
          <w:szCs w:val="20"/>
          <w:lang w:val="es-MX"/>
        </w:rPr>
        <w:t>PL</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sz w:val="20"/>
          <w:szCs w:val="20"/>
        </w:rPr>
      </w:pP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b/>
          <w:bCs/>
          <w:sz w:val="20"/>
          <w:szCs w:val="20"/>
        </w:rPr>
      </w:pPr>
      <w:r>
        <w:rPr>
          <w:rFonts w:asciiTheme="minorHAnsi" w:hAnsiTheme="minorHAnsi" w:cstheme="minorHAnsi"/>
          <w:b/>
          <w:bCs/>
          <w:sz w:val="20"/>
          <w:szCs w:val="20"/>
        </w:rPr>
        <w:t xml:space="preserve">DADA EN SALA DE SESIONES, EN SESIÓN ORDINARIA DEL DÍA </w:t>
      </w:r>
      <w:r>
        <w:rPr>
          <w:rFonts w:hint="default" w:asciiTheme="minorHAnsi" w:hAnsiTheme="minorHAnsi" w:cstheme="minorHAnsi"/>
          <w:b/>
          <w:bCs/>
          <w:sz w:val="20"/>
          <w:szCs w:val="20"/>
          <w:lang w:val="es-MX"/>
        </w:rPr>
        <w:t>TREINTA</w:t>
      </w:r>
      <w:r>
        <w:rPr>
          <w:rFonts w:asciiTheme="minorHAnsi" w:hAnsiTheme="minorHAnsi" w:cstheme="minorHAnsi"/>
          <w:b/>
          <w:bCs/>
          <w:sz w:val="20"/>
          <w:szCs w:val="20"/>
        </w:rPr>
        <w:t xml:space="preserve"> DE </w:t>
      </w:r>
      <w:r>
        <w:rPr>
          <w:rFonts w:hint="default" w:asciiTheme="minorHAnsi" w:hAnsiTheme="minorHAnsi" w:cstheme="minorHAnsi"/>
          <w:b/>
          <w:bCs/>
          <w:sz w:val="20"/>
          <w:szCs w:val="20"/>
          <w:lang w:val="es-MX"/>
        </w:rPr>
        <w:t>AGOSTO</w:t>
      </w:r>
      <w:r>
        <w:rPr>
          <w:rFonts w:asciiTheme="minorHAnsi" w:hAnsiTheme="minorHAnsi" w:cstheme="minorHAnsi"/>
          <w:b/>
          <w:bCs/>
          <w:sz w:val="20"/>
          <w:szCs w:val="20"/>
        </w:rPr>
        <w:t xml:space="preserve"> DEL AÑO DOS MIL VINTIUNO</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Theme="minorHAnsi" w:hAnsiTheme="minorHAnsi" w:cstheme="minorHAnsi"/>
          <w:b/>
          <w:bCs/>
          <w:sz w:val="20"/>
          <w:szCs w:val="20"/>
        </w:rPr>
      </w:pPr>
    </w:p>
    <w:p>
      <w:pPr>
        <w:jc w:val="both"/>
        <w:rPr>
          <w:rFonts w:asciiTheme="minorHAnsi" w:hAnsiTheme="minorHAnsi" w:cstheme="minorHAnsi"/>
          <w:b/>
          <w:bCs/>
          <w:sz w:val="22"/>
          <w:szCs w:val="22"/>
        </w:rPr>
      </w:pPr>
    </w:p>
    <w:p>
      <w:pPr>
        <w:suppressAutoHyphens/>
        <w:spacing w:line="259" w:lineRule="auto"/>
        <w:jc w:val="both"/>
        <w:rPr>
          <w:rFonts w:ascii="Calibri" w:hAnsi="Calibri" w:eastAsia="Calibri" w:cs="Calibri"/>
          <w:sz w:val="16"/>
          <w:szCs w:val="16"/>
          <w:lang w:val="es-AR" w:eastAsia="zh-CN"/>
        </w:rPr>
      </w:pPr>
      <w:r>
        <w:rPr>
          <w:rFonts w:ascii="Calibri" w:hAnsi="Calibri" w:eastAsia="Calibri" w:cs="Calibri"/>
          <w:sz w:val="16"/>
          <w:szCs w:val="16"/>
          <w:lang w:val="es-AR" w:eastAsia="zh-CN"/>
        </w:rPr>
        <w:t xml:space="preserve">          TEC. UNIV. MIRIAM ESPINOZA</w:t>
      </w:r>
      <w:r>
        <w:rPr>
          <w:rFonts w:ascii="Calibri" w:hAnsi="Calibri" w:eastAsia="Calibri" w:cs="Calibri"/>
          <w:sz w:val="16"/>
          <w:szCs w:val="16"/>
          <w:lang w:val="es-AR" w:eastAsia="zh-CN"/>
        </w:rPr>
        <w:tab/>
      </w:r>
      <w:r>
        <w:rPr>
          <w:rFonts w:ascii="Calibri" w:hAnsi="Calibri" w:eastAsia="Calibri" w:cs="Calibri"/>
          <w:sz w:val="16"/>
          <w:szCs w:val="16"/>
          <w:lang w:val="es-AR" w:eastAsia="zh-CN"/>
        </w:rPr>
        <w:tab/>
      </w:r>
      <w:r>
        <w:rPr>
          <w:rFonts w:ascii="Calibri" w:hAnsi="Calibri" w:eastAsia="Calibri" w:cs="Calibri"/>
          <w:sz w:val="16"/>
          <w:szCs w:val="16"/>
          <w:lang w:val="es-AR" w:eastAsia="zh-CN"/>
        </w:rPr>
        <w:tab/>
      </w:r>
      <w:r>
        <w:rPr>
          <w:rFonts w:ascii="Calibri" w:hAnsi="Calibri" w:eastAsia="Calibri" w:cs="Calibri"/>
          <w:sz w:val="16"/>
          <w:szCs w:val="16"/>
          <w:lang w:val="es-AR" w:eastAsia="zh-CN"/>
        </w:rPr>
        <w:tab/>
      </w:r>
      <w:r>
        <w:rPr>
          <w:rFonts w:ascii="Calibri" w:hAnsi="Calibri" w:eastAsia="Calibri" w:cs="Calibri"/>
          <w:sz w:val="16"/>
          <w:szCs w:val="16"/>
          <w:lang w:val="es-AR" w:eastAsia="zh-CN"/>
        </w:rPr>
        <w:tab/>
      </w:r>
      <w:r>
        <w:rPr>
          <w:rFonts w:ascii="Calibri" w:hAnsi="Calibri" w:eastAsia="Calibri" w:cs="Calibri"/>
          <w:sz w:val="16"/>
          <w:szCs w:val="16"/>
          <w:lang w:val="es-AR" w:eastAsia="zh-CN"/>
        </w:rPr>
        <w:t xml:space="preserve">           LIC. FABRICIO CUARANTA                                                                                    </w:t>
      </w:r>
    </w:p>
    <w:p>
      <w:pPr>
        <w:suppressAutoHyphens/>
        <w:spacing w:line="259" w:lineRule="auto"/>
        <w:rPr>
          <w:rFonts w:ascii="Calibri" w:hAnsi="Calibri" w:eastAsia="Calibri" w:cstheme="minorBidi"/>
          <w:sz w:val="16"/>
          <w:szCs w:val="16"/>
          <w:lang w:val="es-AR" w:eastAsia="zh-CN"/>
        </w:rPr>
      </w:pPr>
      <w:r>
        <w:rPr>
          <w:rFonts w:ascii="Calibri" w:hAnsi="Calibri" w:eastAsia="Calibri" w:cs="Calibri"/>
          <w:sz w:val="16"/>
          <w:szCs w:val="16"/>
          <w:lang w:val="es-AR" w:eastAsia="zh-CN"/>
        </w:rPr>
        <w:t xml:space="preserve">               Secretaria Administrativa                                                                                                                     Presidente</w:t>
      </w:r>
    </w:p>
    <w:p>
      <w:pPr>
        <w:suppressAutoHyphens/>
        <w:spacing w:line="256" w:lineRule="auto"/>
        <w:rPr>
          <w:rFonts w:ascii="Calibri" w:hAnsi="Calibri" w:eastAsia="Calibri" w:cstheme="minorBidi"/>
          <w:sz w:val="16"/>
          <w:szCs w:val="16"/>
          <w:lang w:val="es-AR" w:eastAsia="zh-CN"/>
        </w:rPr>
      </w:pPr>
      <w:r>
        <w:rPr>
          <w:rFonts w:ascii="Calibri" w:hAnsi="Calibri" w:eastAsia="Calibri" w:cs="Calibri"/>
          <w:sz w:val="16"/>
          <w:szCs w:val="16"/>
          <w:lang w:val="es-AR" w:eastAsia="zh-CN"/>
        </w:rPr>
        <w:t xml:space="preserve">      HONORABLE CONCEJO DELIBERANTE  </w:t>
      </w:r>
      <w:r>
        <w:rPr>
          <w:rFonts w:ascii="Calibri" w:hAnsi="Calibri" w:eastAsia="Calibri" w:cs="Calibri"/>
          <w:sz w:val="16"/>
          <w:szCs w:val="16"/>
          <w:lang w:val="es-AR" w:eastAsia="zh-CN"/>
        </w:rPr>
        <w:tab/>
      </w:r>
      <w:r>
        <w:rPr>
          <w:rFonts w:ascii="Calibri" w:hAnsi="Calibri" w:eastAsia="Calibri" w:cs="Calibri"/>
          <w:sz w:val="16"/>
          <w:szCs w:val="16"/>
          <w:lang w:val="es-AR" w:eastAsia="zh-CN"/>
        </w:rPr>
        <w:tab/>
      </w:r>
      <w:r>
        <w:rPr>
          <w:rFonts w:ascii="Calibri" w:hAnsi="Calibri" w:eastAsia="Calibri" w:cs="Calibri"/>
          <w:sz w:val="16"/>
          <w:szCs w:val="16"/>
          <w:lang w:val="es-AR" w:eastAsia="zh-CN"/>
        </w:rPr>
        <w:tab/>
      </w:r>
      <w:r>
        <w:rPr>
          <w:rFonts w:ascii="Calibri" w:hAnsi="Calibri" w:eastAsia="Calibri" w:cs="Calibri"/>
          <w:sz w:val="16"/>
          <w:szCs w:val="16"/>
          <w:lang w:val="es-AR" w:eastAsia="zh-CN"/>
        </w:rPr>
        <w:tab/>
      </w:r>
      <w:r>
        <w:rPr>
          <w:rFonts w:ascii="Calibri" w:hAnsi="Calibri" w:eastAsia="Calibri" w:cs="Calibri"/>
          <w:sz w:val="16"/>
          <w:szCs w:val="16"/>
          <w:lang w:val="es-AR" w:eastAsia="zh-CN"/>
        </w:rPr>
        <w:t xml:space="preserve">                   HONORABLE CONCEJO DELIBERANTE                                                           </w:t>
      </w:r>
    </w:p>
    <w:p>
      <w:pPr>
        <w:jc w:val="both"/>
        <w:rPr>
          <w:rFonts w:hint="default" w:ascii="Calibri" w:hAnsi="Calibri" w:cs="Calibri"/>
          <w:sz w:val="20"/>
          <w:szCs w:val="20"/>
        </w:rPr>
      </w:pPr>
      <w:r>
        <w:rPr>
          <w:rFonts w:ascii="Calibri" w:hAnsi="Calibri" w:eastAsia="Calibri" w:cstheme="minorBidi"/>
          <w:sz w:val="16"/>
          <w:szCs w:val="16"/>
          <w:lang w:val="es-AR" w:eastAsia="zh-CN"/>
        </w:rPr>
        <w:t xml:space="preserve">         MUNICIPALIDAD DE GODOY CRUZ                      </w:t>
      </w:r>
      <w:r>
        <w:rPr>
          <w:rFonts w:ascii="Calibri" w:hAnsi="Calibri" w:eastAsia="Calibri" w:cstheme="minorBidi"/>
          <w:sz w:val="16"/>
          <w:szCs w:val="16"/>
          <w:lang w:val="es-AR" w:eastAsia="zh-CN"/>
        </w:rPr>
        <w:tab/>
      </w:r>
      <w:r>
        <w:rPr>
          <w:rFonts w:ascii="Calibri" w:hAnsi="Calibri" w:eastAsia="Calibri" w:cstheme="minorBidi"/>
          <w:sz w:val="16"/>
          <w:szCs w:val="16"/>
          <w:lang w:val="es-AR" w:eastAsia="zh-CN"/>
        </w:rPr>
        <w:tab/>
      </w:r>
      <w:r>
        <w:rPr>
          <w:rFonts w:ascii="Calibri" w:hAnsi="Calibri" w:eastAsia="Calibri" w:cstheme="minorBidi"/>
          <w:sz w:val="16"/>
          <w:szCs w:val="16"/>
          <w:lang w:val="es-AR" w:eastAsia="zh-CN"/>
        </w:rPr>
        <w:tab/>
      </w:r>
      <w:r>
        <w:rPr>
          <w:rFonts w:ascii="Calibri" w:hAnsi="Calibri" w:eastAsia="Calibri" w:cstheme="minorBidi"/>
          <w:sz w:val="16"/>
          <w:szCs w:val="16"/>
          <w:lang w:val="es-AR" w:eastAsia="zh-CN"/>
        </w:rPr>
        <w:t xml:space="preserve">                      MUNICIPALIDAD DE GODOY CRUZ      </w:t>
      </w:r>
      <w:bookmarkStart w:id="2" w:name="_GoBack"/>
      <w:bookmarkEnd w:id="2"/>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AA63A0D"/>
    <w:rsid w:val="0EF530DB"/>
    <w:rsid w:val="15B702EF"/>
    <w:rsid w:val="1DDC3C44"/>
    <w:rsid w:val="24784F04"/>
    <w:rsid w:val="24FA048C"/>
    <w:rsid w:val="342C4A91"/>
    <w:rsid w:val="3B867CCD"/>
    <w:rsid w:val="4E3C3A8E"/>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 w:type="table" w:customStyle="1" w:styleId="19">
    <w:name w:val="_Style 17"/>
    <w:basedOn w:val="20"/>
    <w:qFormat/>
    <w:uiPriority w:val="0"/>
    <w:tblPr>
      <w:tblCellMar>
        <w:top w:w="100" w:type="dxa"/>
        <w:left w:w="100" w:type="dxa"/>
        <w:bottom w:w="100" w:type="dxa"/>
        <w:right w:w="100" w:type="dxa"/>
      </w:tblCellMar>
    </w:tblPr>
  </w:style>
  <w:style w:type="table" w:customStyle="1" w:styleId="20">
    <w:name w:val="Table Normal"/>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109</Words>
  <Characters>647</Characters>
  <Lines>12</Lines>
  <Paragraphs>3</Paragraphs>
  <TotalTime>2</TotalTime>
  <ScaleCrop>false</ScaleCrop>
  <LinksUpToDate>false</LinksUpToDate>
  <CharactersWithSpaces>763</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2021-08-31T12:37:40Z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