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7171</w:t>
      </w:r>
      <w:bookmarkStart w:id="2" w:name="_GoBack"/>
      <w:bookmarkEnd w:id="2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Ex</w:t>
      </w:r>
      <w:r>
        <w:rPr>
          <w:rFonts w:hint="default" w:ascii="Calibri" w:hAnsi="Calibri" w:cs="Calibri" w:eastAsiaTheme="minorEastAsia"/>
          <w:sz w:val="22"/>
          <w:szCs w:val="22"/>
        </w:rPr>
        <w:t>pte. Nº 2021-000100/H1-GC, caratulado: DEPARTAMENTO BIBLIOTECA -</w:t>
      </w:r>
      <w:r>
        <w:rPr>
          <w:rFonts w:hint="default" w:ascii="Calibri" w:hAnsi="Calibri" w:cs="Calibri" w:eastAsiaTheme="minorEastAsia"/>
          <w:sz w:val="22"/>
          <w:szCs w:val="22"/>
          <w:lang w:val="es-MX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 xml:space="preserve">DEPARTAMENTO EJECUTIVO </w:t>
      </w:r>
      <w:r>
        <w:rPr>
          <w:rFonts w:hint="default" w:ascii="Calibri" w:hAnsi="Calibri" w:cs="Calibri" w:eastAsiaTheme="minorEastAsia"/>
          <w:sz w:val="22"/>
          <w:szCs w:val="22"/>
          <w:lang w:val="es-MX"/>
        </w:rPr>
        <w:t xml:space="preserve">- </w:t>
      </w:r>
      <w:r>
        <w:rPr>
          <w:rFonts w:hint="default" w:ascii="Calibri" w:hAnsi="Calibri" w:cs="Calibri" w:eastAsiaTheme="minorEastAsia"/>
          <w:sz w:val="22"/>
          <w:szCs w:val="22"/>
        </w:rPr>
        <w:t>E/DONACI</w:t>
      </w:r>
      <w:r>
        <w:rPr>
          <w:rFonts w:hint="default" w:ascii="Calibri" w:hAnsi="Calibri" w:cs="Calibri" w:eastAsiaTheme="minorEastAsia"/>
          <w:sz w:val="22"/>
          <w:szCs w:val="22"/>
          <w:lang w:val="es-MX"/>
        </w:rPr>
        <w:t>Ó</w:t>
      </w:r>
      <w:r>
        <w:rPr>
          <w:rFonts w:hint="default" w:ascii="Calibri" w:hAnsi="Calibri" w:cs="Calibri" w:eastAsiaTheme="minorEastAsia"/>
          <w:sz w:val="22"/>
          <w:szCs w:val="22"/>
        </w:rPr>
        <w:t>N LIBRO PARA BIBLIOTECA; y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 xml:space="preserve">Que por las presentes actuaciones,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 xml:space="preserve">el </w:t>
      </w:r>
      <w:r>
        <w:rPr>
          <w:rFonts w:hint="default" w:ascii="Calibri" w:hAnsi="Calibri" w:eastAsia="SimSun" w:cs="Calibri"/>
          <w:sz w:val="22"/>
          <w:szCs w:val="22"/>
        </w:rPr>
        <w:t xml:space="preserve">Departamento de Biblioteca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>M</w:t>
      </w:r>
      <w:r>
        <w:rPr>
          <w:rFonts w:hint="default" w:ascii="Calibri" w:hAnsi="Calibri" w:eastAsia="SimSun" w:cs="Calibri"/>
          <w:sz w:val="22"/>
          <w:szCs w:val="22"/>
        </w:rPr>
        <w:t xml:space="preserve">unicipal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>s</w:t>
      </w:r>
      <w:r>
        <w:rPr>
          <w:rFonts w:hint="default" w:ascii="Calibri" w:hAnsi="Calibri" w:eastAsia="SimSun" w:cs="Calibri"/>
          <w:sz w:val="22"/>
          <w:szCs w:val="22"/>
        </w:rPr>
        <w:t>olicita la incorporación del libro donado para la Biblioteca: "La eterna Margarita" escrito por Rosana Palazzi.</w:t>
      </w: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 xml:space="preserve">Que División Inventario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>y</w:t>
      </w:r>
      <w:r>
        <w:rPr>
          <w:rFonts w:hint="default" w:ascii="Calibri" w:hAnsi="Calibri" w:eastAsia="SimSun" w:cs="Calibri"/>
          <w:sz w:val="22"/>
          <w:szCs w:val="22"/>
        </w:rPr>
        <w:t xml:space="preserve"> Patrimonio de la Dirección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>d</w:t>
      </w:r>
      <w:r>
        <w:rPr>
          <w:rFonts w:hint="default" w:ascii="Calibri" w:hAnsi="Calibri" w:eastAsia="SimSun" w:cs="Calibri"/>
          <w:sz w:val="22"/>
          <w:szCs w:val="22"/>
        </w:rPr>
        <w:t xml:space="preserve">e Contaduría General expresa que habiendo tomado conocimiento de lo solicitado por el Departamento Biblioteca, esa División sugiere se remita al Honorable Concejo Deliberante para que mediante ordenanza se reciba la 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>d</w:t>
      </w:r>
      <w:r>
        <w:rPr>
          <w:rFonts w:hint="default" w:ascii="Calibri" w:hAnsi="Calibri" w:eastAsia="SimSun" w:cs="Calibri"/>
          <w:sz w:val="22"/>
          <w:szCs w:val="22"/>
        </w:rPr>
        <w:t xml:space="preserve">onación del Libro “La Eterna Margarita” escrito por Rosana Palazzi, y de esta manera poder ingresarlo al erario municipal. </w:t>
      </w: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Que se estima procedente aceptar la donación realizada.</w:t>
      </w: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sz w:val="22"/>
          <w:szCs w:val="22"/>
        </w:rPr>
        <w:t>Acéptase la donación del libro, “La eterna Margarita" escrito por Rosana Palazzi para ser destinado al uso público de la Biblioteca + Mediateca Municipal Manuel Belgrano.</w:t>
      </w: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  <w:t>ARTÍCULO 2: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u w:val="none"/>
          <w:lang w:val="es-MX"/>
        </w:rPr>
        <w:t xml:space="preserve"> </w:t>
      </w:r>
      <w:r>
        <w:rPr>
          <w:rFonts w:hint="default" w:ascii="Calibri" w:hAnsi="Calibri" w:eastAsia="SimSun" w:cs="Calibri"/>
          <w:sz w:val="22"/>
          <w:szCs w:val="22"/>
        </w:rPr>
        <w:t>Por División Inventario y Patrimonio, incorpórese al erario municipal el libro aceptado por el artículo primero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sz w:val="22"/>
          <w:szCs w:val="22"/>
          <w:lang w:val="es-MX"/>
        </w:rPr>
        <w:t>Comuníquese al Departamento Ejecutivo, dése al registro municipal respectivo, publíquese y cumplido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sz w:val="22"/>
          <w:szCs w:val="22"/>
          <w:lang w:val="es-MX"/>
        </w:rPr>
        <w:t>a</w:t>
      </w:r>
      <w:r>
        <w:rPr>
          <w:rFonts w:asciiTheme="minorHAnsi" w:hAnsiTheme="minorHAnsi" w:cstheme="minorHAnsi"/>
          <w:sz w:val="22"/>
          <w:szCs w:val="22"/>
        </w:rPr>
        <w:t>rchívese.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JULIO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71787000"/>
    <w:rsid w:val="71D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282</Words>
  <Characters>1551</Characters>
  <Lines>12</Lines>
  <Paragraphs>3</Paragraphs>
  <TotalTime>22</TotalTime>
  <ScaleCrop>false</ScaleCrop>
  <LinksUpToDate>false</LinksUpToDate>
  <CharactersWithSpaces>1830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2021-07-26T15:58:44Z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