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A6C2" w14:textId="77777777" w:rsidR="00CD33B4" w:rsidRPr="00321E0A" w:rsidRDefault="00CD33B4" w:rsidP="00321E0A">
      <w:pPr>
        <w:contextualSpacing/>
        <w:jc w:val="right"/>
        <w:rPr>
          <w:rFonts w:asciiTheme="minorHAnsi" w:hAnsiTheme="minorHAnsi" w:cstheme="minorHAnsi"/>
          <w:b/>
          <w:bCs/>
          <w:sz w:val="22"/>
          <w:szCs w:val="22"/>
          <w:u w:val="single"/>
        </w:rPr>
      </w:pPr>
    </w:p>
    <w:p w14:paraId="38CF5D56" w14:textId="63D3E7CA" w:rsidR="00B12B78" w:rsidRPr="00321E0A" w:rsidRDefault="00B12B78" w:rsidP="00321E0A">
      <w:pPr>
        <w:contextualSpacing/>
        <w:jc w:val="right"/>
        <w:rPr>
          <w:rFonts w:asciiTheme="minorHAnsi" w:hAnsiTheme="minorHAnsi" w:cstheme="minorHAnsi"/>
          <w:b/>
          <w:bCs/>
          <w:sz w:val="22"/>
          <w:szCs w:val="22"/>
          <w:u w:val="single"/>
        </w:rPr>
      </w:pPr>
      <w:r w:rsidRPr="00321E0A">
        <w:rPr>
          <w:rFonts w:asciiTheme="minorHAnsi" w:hAnsiTheme="minorHAnsi" w:cstheme="minorHAnsi"/>
          <w:b/>
          <w:bCs/>
          <w:sz w:val="22"/>
          <w:szCs w:val="22"/>
          <w:u w:val="single"/>
        </w:rPr>
        <w:t xml:space="preserve">ORDENANZA N° </w:t>
      </w:r>
      <w:r w:rsidR="00C309E2" w:rsidRPr="00321E0A">
        <w:rPr>
          <w:rFonts w:asciiTheme="minorHAnsi" w:hAnsiTheme="minorHAnsi" w:cstheme="minorHAnsi"/>
          <w:b/>
          <w:bCs/>
          <w:sz w:val="22"/>
          <w:szCs w:val="22"/>
          <w:u w:val="single"/>
        </w:rPr>
        <w:t>71</w:t>
      </w:r>
      <w:r w:rsidR="0023727F" w:rsidRPr="00321E0A">
        <w:rPr>
          <w:rFonts w:asciiTheme="minorHAnsi" w:hAnsiTheme="minorHAnsi" w:cstheme="minorHAnsi"/>
          <w:b/>
          <w:bCs/>
          <w:sz w:val="22"/>
          <w:szCs w:val="22"/>
          <w:u w:val="single"/>
        </w:rPr>
        <w:t>55</w:t>
      </w:r>
      <w:r w:rsidRPr="00321E0A">
        <w:rPr>
          <w:rFonts w:asciiTheme="minorHAnsi" w:hAnsiTheme="minorHAnsi" w:cstheme="minorHAnsi"/>
          <w:b/>
          <w:bCs/>
          <w:sz w:val="22"/>
          <w:szCs w:val="22"/>
          <w:u w:val="single"/>
        </w:rPr>
        <w:t>/2021</w:t>
      </w:r>
    </w:p>
    <w:p w14:paraId="063C8317" w14:textId="77777777" w:rsidR="00B12B78" w:rsidRPr="00321E0A" w:rsidRDefault="00B12B78" w:rsidP="00321E0A">
      <w:pPr>
        <w:contextualSpacing/>
        <w:jc w:val="both"/>
        <w:rPr>
          <w:rFonts w:asciiTheme="minorHAnsi" w:hAnsiTheme="minorHAnsi" w:cstheme="minorHAnsi"/>
          <w:b/>
          <w:bCs/>
          <w:sz w:val="22"/>
          <w:szCs w:val="22"/>
          <w:u w:val="single"/>
        </w:rPr>
      </w:pPr>
    </w:p>
    <w:p w14:paraId="5A7DAA79" w14:textId="77777777" w:rsidR="00B12B78" w:rsidRPr="00321E0A" w:rsidRDefault="00B12B78" w:rsidP="00321E0A">
      <w:pPr>
        <w:spacing w:line="240" w:lineRule="atLeast"/>
        <w:contextualSpacing/>
        <w:jc w:val="both"/>
        <w:rPr>
          <w:rFonts w:asciiTheme="minorHAnsi" w:hAnsiTheme="minorHAnsi" w:cstheme="minorHAnsi"/>
          <w:sz w:val="22"/>
          <w:szCs w:val="22"/>
        </w:rPr>
      </w:pPr>
      <w:r w:rsidRPr="00321E0A">
        <w:rPr>
          <w:rFonts w:asciiTheme="minorHAnsi" w:hAnsiTheme="minorHAnsi" w:cstheme="minorHAnsi"/>
          <w:b/>
          <w:bCs/>
          <w:sz w:val="22"/>
          <w:szCs w:val="22"/>
          <w:u w:val="single"/>
        </w:rPr>
        <w:t>VISTO:</w:t>
      </w:r>
      <w:r w:rsidRPr="00321E0A">
        <w:rPr>
          <w:rFonts w:asciiTheme="minorHAnsi" w:hAnsiTheme="minorHAnsi" w:cstheme="minorHAnsi"/>
          <w:sz w:val="22"/>
          <w:szCs w:val="22"/>
        </w:rPr>
        <w:t xml:space="preserve"> </w:t>
      </w:r>
    </w:p>
    <w:p w14:paraId="2201C8BD" w14:textId="77777777" w:rsidR="00B12B78" w:rsidRPr="00321E0A" w:rsidRDefault="00B12B78" w:rsidP="00321E0A">
      <w:pPr>
        <w:spacing w:line="240" w:lineRule="atLeast"/>
        <w:contextualSpacing/>
        <w:jc w:val="both"/>
        <w:rPr>
          <w:rFonts w:asciiTheme="minorHAnsi" w:hAnsiTheme="minorHAnsi" w:cstheme="minorHAnsi"/>
          <w:sz w:val="22"/>
          <w:szCs w:val="22"/>
        </w:rPr>
      </w:pPr>
    </w:p>
    <w:p w14:paraId="6332683B" w14:textId="057E1CDE" w:rsidR="00321E0A" w:rsidRPr="00321E0A" w:rsidRDefault="00321E0A" w:rsidP="00321E0A">
      <w:pPr>
        <w:spacing w:before="265" w:line="240" w:lineRule="atLeast"/>
        <w:ind w:right="-1"/>
        <w:contextualSpacing/>
        <w:rPr>
          <w:rFonts w:asciiTheme="minorHAnsi" w:hAnsiTheme="minorHAnsi" w:cstheme="minorHAnsi"/>
          <w:sz w:val="22"/>
          <w:szCs w:val="22"/>
        </w:rPr>
      </w:pPr>
      <w:r>
        <w:rPr>
          <w:rFonts w:asciiTheme="minorHAnsi" w:hAnsiTheme="minorHAnsi" w:cstheme="minorHAnsi"/>
          <w:color w:val="000000"/>
          <w:sz w:val="22"/>
          <w:szCs w:val="22"/>
        </w:rPr>
        <w:t>El expediente N</w:t>
      </w:r>
      <w:r w:rsidRPr="00321E0A">
        <w:rPr>
          <w:rFonts w:asciiTheme="minorHAnsi" w:hAnsiTheme="minorHAnsi" w:cstheme="minorHAnsi"/>
          <w:color w:val="000000"/>
          <w:sz w:val="22"/>
          <w:szCs w:val="22"/>
        </w:rPr>
        <w:t xml:space="preserve">º 2021-000054/H1-GC, caratulado: </w:t>
      </w:r>
      <w:bookmarkStart w:id="0" w:name="docs-internal-guid-98f74d29-7fff-3360-9f"/>
      <w:bookmarkEnd w:id="0"/>
      <w:r w:rsidRPr="00321E0A">
        <w:rPr>
          <w:rFonts w:asciiTheme="minorHAnsi" w:hAnsiTheme="minorHAnsi" w:cstheme="minorHAnsi"/>
          <w:color w:val="000000"/>
          <w:sz w:val="22"/>
          <w:szCs w:val="22"/>
        </w:rPr>
        <w:t>Bloque Frente Cambia Mendoza; Concejal - Emilia Molina E/ PROYECTO DE ORDENANZA SOLIDARIDAD HIDRICA</w:t>
      </w:r>
      <w:r w:rsidRPr="00321E0A">
        <w:rPr>
          <w:rFonts w:asciiTheme="minorHAnsi" w:hAnsiTheme="minorHAnsi" w:cstheme="minorHAnsi"/>
          <w:sz w:val="22"/>
          <w:szCs w:val="22"/>
        </w:rPr>
        <w:t>;  y</w:t>
      </w:r>
    </w:p>
    <w:p w14:paraId="1FD578FA" w14:textId="3B9012CE" w:rsidR="00321E0A" w:rsidRPr="00321E0A" w:rsidRDefault="00321E0A" w:rsidP="00321E0A">
      <w:pPr>
        <w:spacing w:before="265" w:line="240" w:lineRule="atLeast"/>
        <w:ind w:right="964"/>
        <w:rPr>
          <w:rFonts w:asciiTheme="minorHAnsi" w:hAnsiTheme="minorHAnsi" w:cstheme="minorHAnsi"/>
          <w:b/>
          <w:sz w:val="22"/>
          <w:szCs w:val="22"/>
          <w:u w:val="single"/>
        </w:rPr>
      </w:pPr>
      <w:r w:rsidRPr="00321E0A">
        <w:rPr>
          <w:rFonts w:asciiTheme="minorHAnsi" w:hAnsiTheme="minorHAnsi" w:cstheme="minorHAnsi"/>
          <w:b/>
          <w:sz w:val="22"/>
          <w:szCs w:val="22"/>
          <w:u w:val="single"/>
        </w:rPr>
        <w:t>CONSIDERANDO</w:t>
      </w:r>
      <w:r>
        <w:rPr>
          <w:rFonts w:asciiTheme="minorHAnsi" w:hAnsiTheme="minorHAnsi" w:cstheme="minorHAnsi"/>
          <w:b/>
          <w:sz w:val="22"/>
          <w:szCs w:val="22"/>
          <w:u w:val="single"/>
        </w:rPr>
        <w:t>:</w:t>
      </w:r>
    </w:p>
    <w:p w14:paraId="5B8EC49E" w14:textId="77777777" w:rsidR="00321E0A" w:rsidRPr="00321E0A" w:rsidRDefault="00321E0A" w:rsidP="00321E0A">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la problemática actual requiere de acciones para optimizar el manejo del recurso hídrico y propiciar cambios voluntarios que tengan efectos positivos, en torno a la utilización sostenible del agua y el cuidado del ambiente, apuntando a la instalación de un nuevo sistema de </w:t>
      </w:r>
      <w:proofErr w:type="spellStart"/>
      <w:r w:rsidRPr="00321E0A">
        <w:rPr>
          <w:rFonts w:asciiTheme="minorHAnsi" w:hAnsiTheme="minorHAnsi" w:cstheme="minorHAnsi"/>
          <w:color w:val="000000"/>
          <w:sz w:val="22"/>
          <w:szCs w:val="22"/>
        </w:rPr>
        <w:t>micromedición</w:t>
      </w:r>
      <w:proofErr w:type="spellEnd"/>
      <w:r w:rsidRPr="00321E0A">
        <w:rPr>
          <w:rFonts w:asciiTheme="minorHAnsi" w:hAnsiTheme="minorHAnsi" w:cstheme="minorHAnsi"/>
          <w:color w:val="000000"/>
          <w:sz w:val="22"/>
          <w:szCs w:val="22"/>
        </w:rPr>
        <w:t xml:space="preserve"> y el control del consumo de agua. </w:t>
      </w:r>
    </w:p>
    <w:p w14:paraId="0AE24368" w14:textId="7C2E16E2" w:rsidR="00321E0A" w:rsidRDefault="00321E0A" w:rsidP="00321E0A">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Que el contexto internacional evidencia que la escasez de agua es uno de los principales desafíos del siglo XXI al que ya se están enfrentando numerosas sociedades del mundo y, a lo largo del último siglo, el consumo de agua creció a un ritmo dos veces superior al de la tasa de crecimiento de la población y, aunque no es correcto hablar de escasez a nivel global, preocupa el aumento del número de regiones con nivel</w:t>
      </w:r>
      <w:r>
        <w:rPr>
          <w:rFonts w:asciiTheme="minorHAnsi" w:hAnsiTheme="minorHAnsi" w:cstheme="minorHAnsi"/>
          <w:color w:val="000000"/>
          <w:sz w:val="22"/>
          <w:szCs w:val="22"/>
        </w:rPr>
        <w:t>es crónicos de carencia de agua.</w:t>
      </w:r>
      <w:r w:rsidRPr="00321E0A">
        <w:rPr>
          <w:rFonts w:asciiTheme="minorHAnsi" w:hAnsiTheme="minorHAnsi" w:cstheme="minorHAnsi"/>
          <w:color w:val="000000"/>
          <w:sz w:val="22"/>
          <w:szCs w:val="22"/>
        </w:rPr>
        <w:t xml:space="preserve"> </w:t>
      </w:r>
    </w:p>
    <w:p w14:paraId="6B980927" w14:textId="07457206" w:rsidR="00321E0A" w:rsidRPr="00321E0A" w:rsidRDefault="00321E0A" w:rsidP="00321E0A">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en noviembre de 2002 por el Pacto sobre Derechos Económicos, Sociales y Culturales marca un hito en la historia de los derechos humanos. Por primera vez el agua es reconocida de forma explícita como un Derecho Humano fundamental, y que los 145 países que ratificaron el CESCR International se verán ahora obligados a asegurar progresivamente que todos tengan acceso a1 agua potable segura, de forma </w:t>
      </w:r>
      <w:r>
        <w:rPr>
          <w:rFonts w:asciiTheme="minorHAnsi" w:hAnsiTheme="minorHAnsi" w:cstheme="minorHAnsi"/>
          <w:color w:val="000000"/>
          <w:sz w:val="22"/>
          <w:szCs w:val="22"/>
        </w:rPr>
        <w:t>equitativa y sin discriminación.</w:t>
      </w:r>
    </w:p>
    <w:p w14:paraId="42A41D5F" w14:textId="446A4046" w:rsidR="00321E0A" w:rsidRPr="00321E0A" w:rsidRDefault="00321E0A" w:rsidP="00321E0A">
      <w:pPr>
        <w:spacing w:before="265"/>
        <w:ind w:right="-1" w:firstLine="7"/>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a partir de esto se solicita a los gobiernos que adopten estrategias y planes de acción a nivel nacional, provincial y municipal "moverse de forma más expeditiva y eficaz para hacer realidad el derecho al agua "; las mismas deberían: "estar basadas en leyes y principios de los derechos humanos, abarcar todos los aspectos del derecho al agua y las correspondientes obligaciones de los países, definir objetivos claros, formular políticas adecuadas y los correspondientes indicadores”. </w:t>
      </w:r>
    </w:p>
    <w:p w14:paraId="2D079743" w14:textId="77777777" w:rsidR="00321E0A" w:rsidRPr="00321E0A" w:rsidRDefault="00321E0A" w:rsidP="00321E0A">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todo gobierno municipal debe alcanzar el bien común y apuntar al desarrollo sostenible, siempre a partir de la educación, la participación y el compromiso de sus habitantes. A través de charlas, cursos y eventos, se contagia y compromete al estudiantado a cuidar el entorno y ser monitores de estas prácticas. </w:t>
      </w:r>
    </w:p>
    <w:p w14:paraId="17429F56" w14:textId="4800031D" w:rsidR="00321E0A" w:rsidRPr="00321E0A" w:rsidRDefault="00321E0A" w:rsidP="00321E0A">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Que Godoy Cruz, se destaca por presentar su Plan Municipal de Ordenamiento Territorial (PMOT) en el año 2018, siendo el primer municipio de la provincia en hacerlo, siguiendo los lineamientos del Plan Provincial de Ordenamiento Territorial (PPTO), pero sustentado en los 5 (cinco) ejes de gobierno, articulándolos con los Objetivos</w:t>
      </w:r>
      <w:r>
        <w:rPr>
          <w:rFonts w:asciiTheme="minorHAnsi" w:hAnsiTheme="minorHAnsi" w:cstheme="minorHAnsi"/>
          <w:color w:val="000000"/>
          <w:sz w:val="22"/>
          <w:szCs w:val="22"/>
        </w:rPr>
        <w:t xml:space="preserve"> de Desarrollo Sostenible (ODS).</w:t>
      </w:r>
    </w:p>
    <w:p w14:paraId="71E77058" w14:textId="77777777" w:rsidR="00321E0A" w:rsidRDefault="00321E0A" w:rsidP="006F183C">
      <w:pPr>
        <w:spacing w:before="265"/>
        <w:ind w:right="-1"/>
        <w:jc w:val="both"/>
        <w:rPr>
          <w:rFonts w:asciiTheme="minorHAnsi" w:hAnsiTheme="minorHAnsi" w:cstheme="minorHAnsi"/>
          <w:color w:val="000000"/>
          <w:sz w:val="22"/>
          <w:szCs w:val="22"/>
        </w:rPr>
      </w:pPr>
      <w:r w:rsidRPr="00321E0A">
        <w:rPr>
          <w:rFonts w:asciiTheme="minorHAnsi" w:hAnsiTheme="minorHAnsi" w:cstheme="minorHAnsi"/>
          <w:color w:val="000000"/>
          <w:sz w:val="22"/>
          <w:szCs w:val="22"/>
        </w:rPr>
        <w:t xml:space="preserve">Que Godoy Cruz, es miembro de la Red Argentina de Municipios Frente el Cambio Climático (RAMCC) y tiene un compromiso con la metodología del Protocolo Global para inventarios de Emisión de Gases de Efecto Invernadero a Escala Comunitaria (GPC) por el Clima y la Energía; siendo que la huella de carbono corporativa es un indicador ambiental que mide los gases de efecto invernadero (GEI). </w:t>
      </w:r>
    </w:p>
    <w:p w14:paraId="48C8C789" w14:textId="0CC6DB92" w:rsidR="00321E0A" w:rsidRDefault="006F183C" w:rsidP="006F183C">
      <w:pPr>
        <w:spacing w:before="265"/>
        <w:ind w:right="-1"/>
        <w:contextualSpacing/>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ORDENANZA N° 7155/2021</w:t>
      </w:r>
    </w:p>
    <w:p w14:paraId="6B5A9303" w14:textId="43E21EB8" w:rsidR="006F183C" w:rsidRDefault="006F183C" w:rsidP="006F183C">
      <w:pPr>
        <w:tabs>
          <w:tab w:val="left" w:pos="8364"/>
        </w:tabs>
        <w:spacing w:before="265"/>
        <w:ind w:right="-1"/>
        <w:contextualSpacing/>
        <w:jc w:val="right"/>
        <w:rPr>
          <w:rFonts w:asciiTheme="minorHAnsi" w:hAnsiTheme="minorHAnsi" w:cstheme="minorHAnsi"/>
          <w:color w:val="000000"/>
          <w:sz w:val="22"/>
          <w:szCs w:val="22"/>
        </w:rPr>
      </w:pPr>
      <w:r>
        <w:rPr>
          <w:rFonts w:asciiTheme="minorHAnsi" w:hAnsiTheme="minorHAnsi" w:cstheme="minorHAnsi"/>
          <w:color w:val="000000"/>
          <w:sz w:val="22"/>
          <w:szCs w:val="22"/>
        </w:rPr>
        <w:t>HOJA N° 2</w:t>
      </w:r>
    </w:p>
    <w:p w14:paraId="56CDD275" w14:textId="77777777" w:rsidR="00321E0A" w:rsidRPr="00321E0A" w:rsidRDefault="00321E0A" w:rsidP="006F183C">
      <w:pPr>
        <w:spacing w:before="265"/>
        <w:ind w:right="-1"/>
        <w:contextualSpacing/>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es imprescindible que se instrumente un plan de acción municipal para evitar el consumo irracional del agua. Que este vital recurso es fundamental para el desarrollo sostenible e indispensable para la salud y el bienestar de todos los seres humanos. </w:t>
      </w:r>
    </w:p>
    <w:p w14:paraId="310FC153" w14:textId="77777777" w:rsidR="00321E0A" w:rsidRPr="00321E0A" w:rsidRDefault="00321E0A" w:rsidP="00321E0A">
      <w:pPr>
        <w:spacing w:before="265"/>
        <w:ind w:left="868" w:right="936" w:firstLine="7"/>
        <w:contextualSpacing/>
        <w:jc w:val="both"/>
        <w:rPr>
          <w:rFonts w:asciiTheme="minorHAnsi" w:hAnsiTheme="minorHAnsi" w:cstheme="minorHAnsi"/>
          <w:sz w:val="22"/>
          <w:szCs w:val="22"/>
        </w:rPr>
      </w:pPr>
    </w:p>
    <w:p w14:paraId="4478596E" w14:textId="77777777" w:rsidR="00321E0A" w:rsidRPr="00321E0A" w:rsidRDefault="00321E0A" w:rsidP="006F183C">
      <w:pPr>
        <w:spacing w:before="265"/>
        <w:ind w:right="-1" w:firstLine="7"/>
        <w:contextualSpacing/>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el agua es un recurso natural del que depende el correcto funcionamiento de los ecosistemas. </w:t>
      </w:r>
    </w:p>
    <w:p w14:paraId="580BA75A" w14:textId="77777777" w:rsidR="00321E0A" w:rsidRPr="00321E0A" w:rsidRDefault="00321E0A" w:rsidP="006F183C">
      <w:pPr>
        <w:spacing w:before="265"/>
        <w:ind w:right="-1"/>
        <w:contextualSpacing/>
        <w:jc w:val="both"/>
        <w:rPr>
          <w:rFonts w:asciiTheme="minorHAnsi" w:hAnsiTheme="minorHAnsi" w:cstheme="minorHAnsi"/>
          <w:sz w:val="22"/>
          <w:szCs w:val="22"/>
        </w:rPr>
      </w:pPr>
      <w:r w:rsidRPr="00321E0A">
        <w:rPr>
          <w:rFonts w:asciiTheme="minorHAnsi" w:hAnsiTheme="minorHAnsi" w:cstheme="minorHAnsi"/>
          <w:color w:val="000000"/>
          <w:sz w:val="22"/>
          <w:szCs w:val="22"/>
        </w:rPr>
        <w:t>Que en Mendoza, según Agua y Saneamiento Mendoza (</w:t>
      </w:r>
      <w:proofErr w:type="spellStart"/>
      <w:r w:rsidRPr="00321E0A">
        <w:rPr>
          <w:rFonts w:asciiTheme="minorHAnsi" w:hAnsiTheme="minorHAnsi" w:cstheme="minorHAnsi"/>
          <w:color w:val="000000"/>
          <w:sz w:val="22"/>
          <w:szCs w:val="22"/>
        </w:rPr>
        <w:t>AySAM</w:t>
      </w:r>
      <w:proofErr w:type="spellEnd"/>
      <w:r w:rsidRPr="00321E0A">
        <w:rPr>
          <w:rFonts w:asciiTheme="minorHAnsi" w:hAnsiTheme="minorHAnsi" w:cstheme="minorHAnsi"/>
          <w:color w:val="000000"/>
          <w:sz w:val="22"/>
          <w:szCs w:val="22"/>
        </w:rPr>
        <w:t xml:space="preserve">) el consumo de agua promedio alcanza los 487 litros por habitante por día, superando en dos la media mundial. </w:t>
      </w:r>
    </w:p>
    <w:p w14:paraId="52201218" w14:textId="294E882E" w:rsidR="00321E0A" w:rsidRPr="00321E0A" w:rsidRDefault="00321E0A" w:rsidP="006F183C">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 xml:space="preserve">Que el planeta tiene una superficie de un 70% aprox. cubierta de agua, pero, no toda el agua es </w:t>
      </w:r>
      <w:proofErr w:type="gramStart"/>
      <w:r w:rsidRPr="00321E0A">
        <w:rPr>
          <w:rFonts w:asciiTheme="minorHAnsi" w:hAnsiTheme="minorHAnsi" w:cstheme="minorHAnsi"/>
          <w:color w:val="000000"/>
          <w:sz w:val="22"/>
          <w:szCs w:val="22"/>
        </w:rPr>
        <w:t>apta</w:t>
      </w:r>
      <w:proofErr w:type="gramEnd"/>
      <w:r w:rsidRPr="00321E0A">
        <w:rPr>
          <w:rFonts w:asciiTheme="minorHAnsi" w:hAnsiTheme="minorHAnsi" w:cstheme="minorHAnsi"/>
          <w:color w:val="000000"/>
          <w:sz w:val="22"/>
          <w:szCs w:val="22"/>
        </w:rPr>
        <w:t xml:space="preserve"> para el consumo, sólo el 3% es agua dulce y solamente la mitad es apta para el consumo humano, haciendo de ella un recurso limitado, escaso y en creciente demanda por el </w:t>
      </w:r>
      <w:r>
        <w:rPr>
          <w:rFonts w:asciiTheme="minorHAnsi" w:hAnsiTheme="minorHAnsi" w:cstheme="minorHAnsi"/>
          <w:color w:val="000000"/>
          <w:sz w:val="22"/>
          <w:szCs w:val="22"/>
        </w:rPr>
        <w:t>constante aumento de población.</w:t>
      </w:r>
    </w:p>
    <w:p w14:paraId="3362F9DD" w14:textId="0B93D5A8" w:rsidR="00321E0A" w:rsidRPr="00321E0A" w:rsidRDefault="00321E0A" w:rsidP="006F183C">
      <w:pPr>
        <w:spacing w:before="265"/>
        <w:ind w:right="-1"/>
        <w:jc w:val="both"/>
        <w:rPr>
          <w:rFonts w:asciiTheme="minorHAnsi" w:hAnsiTheme="minorHAnsi" w:cstheme="minorHAnsi"/>
          <w:sz w:val="22"/>
          <w:szCs w:val="22"/>
        </w:rPr>
      </w:pPr>
      <w:r w:rsidRPr="00321E0A">
        <w:rPr>
          <w:rFonts w:asciiTheme="minorHAnsi" w:hAnsiTheme="minorHAnsi" w:cstheme="minorHAnsi"/>
          <w:color w:val="000000"/>
          <w:sz w:val="22"/>
          <w:szCs w:val="22"/>
        </w:rPr>
        <w:t>Que es importante que el órgano legislativo del municipio se comprometa en esta problemática a fin de proteger este recurso escaso y, desarrolle actividades y proyectos que tiendan a desarrollar el debate y el compromiso ciudadano, permitiendo examinar todas las posibilidades para reducir el consumo de agua potable y promover el uso responsable por parte de los usuarios, contribuyendo así</w:t>
      </w:r>
      <w:r>
        <w:rPr>
          <w:rFonts w:asciiTheme="minorHAnsi" w:hAnsiTheme="minorHAnsi" w:cstheme="minorHAnsi"/>
          <w:color w:val="000000"/>
          <w:sz w:val="22"/>
          <w:szCs w:val="22"/>
        </w:rPr>
        <w:t xml:space="preserve"> a reducir la demanda hídrica”.</w:t>
      </w:r>
    </w:p>
    <w:p w14:paraId="417837EB" w14:textId="77777777" w:rsidR="00321E0A" w:rsidRDefault="00321E0A" w:rsidP="00321E0A">
      <w:pPr>
        <w:spacing w:before="315" w:line="266" w:lineRule="auto"/>
        <w:ind w:right="930" w:firstLine="1"/>
        <w:contextualSpacing/>
        <w:jc w:val="both"/>
        <w:rPr>
          <w:rFonts w:asciiTheme="minorHAnsi" w:hAnsiTheme="minorHAnsi" w:cstheme="minorHAnsi"/>
          <w:color w:val="000000"/>
          <w:sz w:val="22"/>
          <w:szCs w:val="22"/>
          <w:highlight w:val="white"/>
        </w:rPr>
      </w:pPr>
    </w:p>
    <w:p w14:paraId="77185046" w14:textId="3C05FA74" w:rsidR="00321E0A" w:rsidRPr="00321E0A" w:rsidRDefault="00321E0A" w:rsidP="00321E0A">
      <w:pPr>
        <w:spacing w:before="315" w:line="266" w:lineRule="auto"/>
        <w:ind w:right="930" w:firstLine="1"/>
        <w:contextualSpacing/>
        <w:jc w:val="both"/>
        <w:rPr>
          <w:rFonts w:asciiTheme="minorHAnsi" w:hAnsiTheme="minorHAnsi" w:cstheme="minorHAnsi"/>
          <w:b/>
          <w:sz w:val="22"/>
          <w:szCs w:val="22"/>
          <w:u w:val="single"/>
        </w:rPr>
      </w:pPr>
      <w:r w:rsidRPr="00321E0A">
        <w:rPr>
          <w:rFonts w:asciiTheme="minorHAnsi" w:hAnsiTheme="minorHAnsi" w:cstheme="minorHAnsi"/>
          <w:b/>
          <w:color w:val="000000"/>
          <w:sz w:val="22"/>
          <w:szCs w:val="22"/>
          <w:highlight w:val="white"/>
          <w:u w:val="single"/>
        </w:rPr>
        <w:t>POR ELLO</w:t>
      </w:r>
      <w:r w:rsidRPr="00321E0A">
        <w:rPr>
          <w:rFonts w:asciiTheme="minorHAnsi" w:hAnsiTheme="minorHAnsi" w:cstheme="minorHAnsi"/>
          <w:b/>
          <w:color w:val="000000"/>
          <w:sz w:val="22"/>
          <w:szCs w:val="22"/>
          <w:u w:val="single"/>
        </w:rPr>
        <w:t>:</w:t>
      </w:r>
    </w:p>
    <w:p w14:paraId="138D9B2C" w14:textId="7E0E275F" w:rsidR="00321E0A" w:rsidRDefault="00321E0A" w:rsidP="00321E0A">
      <w:pPr>
        <w:spacing w:before="315" w:line="266" w:lineRule="auto"/>
        <w:ind w:right="930"/>
        <w:contextualSpacing/>
        <w:jc w:val="center"/>
        <w:rPr>
          <w:rFonts w:asciiTheme="minorHAnsi" w:hAnsiTheme="minorHAnsi" w:cstheme="minorHAnsi"/>
          <w:b/>
          <w:color w:val="000000"/>
          <w:sz w:val="22"/>
          <w:szCs w:val="22"/>
        </w:rPr>
      </w:pPr>
      <w:r>
        <w:rPr>
          <w:rFonts w:asciiTheme="minorHAnsi" w:hAnsiTheme="minorHAnsi" w:cstheme="minorHAnsi"/>
          <w:b/>
          <w:color w:val="000000"/>
          <w:sz w:val="22"/>
          <w:szCs w:val="22"/>
        </w:rPr>
        <w:t>EL HONORABLE CONCEJO</w:t>
      </w:r>
      <w:r w:rsidR="006F183C">
        <w:rPr>
          <w:rFonts w:asciiTheme="minorHAnsi" w:hAnsiTheme="minorHAnsi" w:cstheme="minorHAnsi"/>
          <w:b/>
          <w:color w:val="000000"/>
          <w:sz w:val="22"/>
          <w:szCs w:val="22"/>
        </w:rPr>
        <w:t>DELIBERANTE</w:t>
      </w:r>
      <w:r>
        <w:rPr>
          <w:rFonts w:asciiTheme="minorHAnsi" w:hAnsiTheme="minorHAnsi" w:cstheme="minorHAnsi"/>
          <w:b/>
          <w:color w:val="000000"/>
          <w:sz w:val="22"/>
          <w:szCs w:val="22"/>
        </w:rPr>
        <w:t xml:space="preserve"> DE GODOY CRUZ:</w:t>
      </w:r>
    </w:p>
    <w:p w14:paraId="00B1F930" w14:textId="1F069E56" w:rsidR="00321E0A" w:rsidRPr="00321E0A" w:rsidRDefault="00321E0A" w:rsidP="00321E0A">
      <w:pPr>
        <w:spacing w:before="315" w:line="266" w:lineRule="auto"/>
        <w:ind w:right="930"/>
        <w:contextualSpacing/>
        <w:jc w:val="center"/>
        <w:rPr>
          <w:rFonts w:asciiTheme="minorHAnsi" w:hAnsiTheme="minorHAnsi" w:cstheme="minorHAnsi"/>
          <w:sz w:val="22"/>
          <w:szCs w:val="22"/>
          <w:u w:val="single"/>
        </w:rPr>
      </w:pPr>
      <w:r w:rsidRPr="00321E0A">
        <w:rPr>
          <w:rFonts w:asciiTheme="minorHAnsi" w:hAnsiTheme="minorHAnsi" w:cstheme="minorHAnsi"/>
          <w:b/>
          <w:color w:val="000000"/>
          <w:sz w:val="22"/>
          <w:szCs w:val="22"/>
          <w:u w:val="single"/>
        </w:rPr>
        <w:t>ORDENA</w:t>
      </w:r>
    </w:p>
    <w:p w14:paraId="3A869F1B" w14:textId="77777777" w:rsidR="00321E0A" w:rsidRPr="00321E0A" w:rsidRDefault="00321E0A" w:rsidP="006F183C">
      <w:pPr>
        <w:tabs>
          <w:tab w:val="left" w:pos="8504"/>
        </w:tabs>
        <w:spacing w:before="265"/>
        <w:ind w:right="-1"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 </w:t>
      </w:r>
      <w:r w:rsidRPr="00321E0A">
        <w:rPr>
          <w:rFonts w:asciiTheme="minorHAnsi" w:hAnsiTheme="minorHAnsi" w:cstheme="minorHAnsi"/>
          <w:b/>
          <w:bCs/>
          <w:color w:val="000000"/>
          <w:sz w:val="22"/>
          <w:szCs w:val="22"/>
          <w:highlight w:val="white"/>
          <w:u w:val="single"/>
        </w:rPr>
        <w:t>ARTÍCULO 1:</w:t>
      </w:r>
      <w:r w:rsidRPr="00321E0A">
        <w:rPr>
          <w:rFonts w:asciiTheme="minorHAnsi" w:hAnsiTheme="minorHAnsi" w:cstheme="minorHAnsi"/>
          <w:bCs/>
          <w:color w:val="000000"/>
          <w:sz w:val="22"/>
          <w:szCs w:val="22"/>
          <w:highlight w:val="white"/>
        </w:rPr>
        <w:t xml:space="preserve"> Créase en el ámbito de la Municipalidad de Godoy Cruz el manual de ahorro de agua potable para la ciudadanía bajo el título "Solidaridad Hídrica. Cada gota cuenta”.  </w:t>
      </w:r>
    </w:p>
    <w:p w14:paraId="5992AA85" w14:textId="550B7896" w:rsidR="00321E0A" w:rsidRPr="00321E0A" w:rsidRDefault="00321E0A" w:rsidP="006F183C">
      <w:pPr>
        <w:spacing w:before="265"/>
        <w:ind w:right="-1" w:firstLine="7"/>
        <w:jc w:val="both"/>
        <w:rPr>
          <w:rFonts w:asciiTheme="minorHAnsi" w:hAnsiTheme="minorHAnsi" w:cstheme="minorHAnsi"/>
          <w:sz w:val="22"/>
          <w:szCs w:val="22"/>
        </w:rPr>
      </w:pPr>
      <w:r w:rsidRPr="00321E0A">
        <w:rPr>
          <w:rFonts w:asciiTheme="minorHAnsi" w:hAnsiTheme="minorHAnsi" w:cstheme="minorHAnsi"/>
          <w:b/>
          <w:bCs/>
          <w:color w:val="000000"/>
          <w:sz w:val="22"/>
          <w:szCs w:val="22"/>
          <w:highlight w:val="white"/>
          <w:u w:val="single"/>
        </w:rPr>
        <w:t>ARTÍCULO 2:</w:t>
      </w:r>
      <w:r w:rsidRPr="00321E0A">
        <w:rPr>
          <w:rFonts w:asciiTheme="minorHAnsi" w:hAnsiTheme="minorHAnsi" w:cstheme="minorHAnsi"/>
          <w:bCs/>
          <w:color w:val="000000"/>
          <w:sz w:val="22"/>
          <w:szCs w:val="22"/>
          <w:highlight w:val="white"/>
        </w:rPr>
        <w:t xml:space="preserve"> Publíquese el manual de ahorro de agua potable para la </w:t>
      </w:r>
      <w:r w:rsidR="006F183C" w:rsidRPr="00321E0A">
        <w:rPr>
          <w:rFonts w:asciiTheme="minorHAnsi" w:hAnsiTheme="minorHAnsi" w:cstheme="minorHAnsi"/>
          <w:bCs/>
          <w:color w:val="000000"/>
          <w:sz w:val="22"/>
          <w:szCs w:val="22"/>
          <w:highlight w:val="white"/>
        </w:rPr>
        <w:t>ciudadanía</w:t>
      </w:r>
      <w:r w:rsidR="006F183C">
        <w:rPr>
          <w:rFonts w:asciiTheme="minorHAnsi" w:hAnsiTheme="minorHAnsi" w:cstheme="minorHAnsi"/>
          <w:bCs/>
          <w:color w:val="000000"/>
          <w:sz w:val="22"/>
          <w:szCs w:val="22"/>
          <w:highlight w:val="white"/>
        </w:rPr>
        <w:t xml:space="preserve">  “</w:t>
      </w:r>
      <w:r w:rsidRPr="00321E0A">
        <w:rPr>
          <w:rFonts w:asciiTheme="minorHAnsi" w:hAnsiTheme="minorHAnsi" w:cstheme="minorHAnsi"/>
          <w:bCs/>
          <w:color w:val="000000"/>
          <w:sz w:val="22"/>
          <w:szCs w:val="22"/>
          <w:highlight w:val="white"/>
        </w:rPr>
        <w:t>Solida</w:t>
      </w:r>
      <w:r w:rsidR="006F183C">
        <w:rPr>
          <w:rFonts w:asciiTheme="minorHAnsi" w:hAnsiTheme="minorHAnsi" w:cstheme="minorHAnsi"/>
          <w:bCs/>
          <w:color w:val="000000"/>
          <w:sz w:val="22"/>
          <w:szCs w:val="22"/>
          <w:highlight w:val="white"/>
        </w:rPr>
        <w:t>ridad hídrica. Cada gota cuenta”</w:t>
      </w:r>
      <w:r w:rsidRPr="00321E0A">
        <w:rPr>
          <w:rFonts w:asciiTheme="minorHAnsi" w:hAnsiTheme="minorHAnsi" w:cstheme="minorHAnsi"/>
          <w:bCs/>
          <w:color w:val="000000"/>
          <w:sz w:val="22"/>
          <w:szCs w:val="22"/>
          <w:highlight w:val="white"/>
        </w:rPr>
        <w:t xml:space="preserve"> en la página web de la municipalidad https://www.godoycruz.gob.ar/. </w:t>
      </w:r>
    </w:p>
    <w:p w14:paraId="6AA496BE" w14:textId="77777777" w:rsidR="00321E0A" w:rsidRPr="00321E0A" w:rsidRDefault="00321E0A" w:rsidP="006F183C">
      <w:pPr>
        <w:spacing w:before="265"/>
        <w:ind w:right="-1" w:firstLine="7"/>
        <w:jc w:val="both"/>
        <w:rPr>
          <w:rFonts w:asciiTheme="minorHAnsi" w:hAnsiTheme="minorHAnsi" w:cstheme="minorHAnsi"/>
          <w:sz w:val="22"/>
          <w:szCs w:val="22"/>
        </w:rPr>
      </w:pPr>
      <w:r w:rsidRPr="00321E0A">
        <w:rPr>
          <w:rFonts w:asciiTheme="minorHAnsi" w:hAnsiTheme="minorHAnsi" w:cstheme="minorHAnsi"/>
          <w:b/>
          <w:bCs/>
          <w:color w:val="000000"/>
          <w:sz w:val="22"/>
          <w:szCs w:val="22"/>
          <w:highlight w:val="white"/>
          <w:u w:val="single"/>
        </w:rPr>
        <w:t>ARTÍCULO 3:</w:t>
      </w:r>
      <w:r w:rsidRPr="00321E0A">
        <w:rPr>
          <w:rFonts w:asciiTheme="minorHAnsi" w:hAnsiTheme="minorHAnsi" w:cstheme="minorHAnsi"/>
          <w:bCs/>
          <w:color w:val="000000"/>
          <w:sz w:val="22"/>
          <w:szCs w:val="22"/>
          <w:highlight w:val="white"/>
        </w:rPr>
        <w:t xml:space="preserve"> Créase en el ámbito de la Municipalidad de Godoy Cruz una Mesa de Trabajo interdisciplinaria sobre Eficiencia y Solidaridad Hídrica que estará a cargo del Órgano Ejecutivo Municipalidad. </w:t>
      </w:r>
    </w:p>
    <w:p w14:paraId="4737DC7A" w14:textId="77777777" w:rsidR="00321E0A" w:rsidRDefault="00321E0A" w:rsidP="006F183C">
      <w:pPr>
        <w:spacing w:before="265"/>
        <w:ind w:right="-1" w:firstLine="7"/>
        <w:jc w:val="both"/>
        <w:rPr>
          <w:rFonts w:asciiTheme="minorHAnsi" w:hAnsiTheme="minorHAnsi" w:cstheme="minorHAnsi"/>
          <w:bCs/>
          <w:color w:val="000000"/>
          <w:sz w:val="22"/>
          <w:szCs w:val="22"/>
        </w:rPr>
      </w:pPr>
      <w:r w:rsidRPr="00321E0A">
        <w:rPr>
          <w:rFonts w:asciiTheme="minorHAnsi" w:hAnsiTheme="minorHAnsi" w:cstheme="minorHAnsi"/>
          <w:b/>
          <w:bCs/>
          <w:color w:val="000000"/>
          <w:sz w:val="22"/>
          <w:szCs w:val="22"/>
          <w:highlight w:val="white"/>
          <w:u w:val="single"/>
        </w:rPr>
        <w:t>ARTÍCULO 4:</w:t>
      </w:r>
      <w:r w:rsidRPr="00321E0A">
        <w:rPr>
          <w:rFonts w:asciiTheme="minorHAnsi" w:hAnsiTheme="minorHAnsi" w:cstheme="minorHAnsi"/>
          <w:bCs/>
          <w:color w:val="000000"/>
          <w:sz w:val="22"/>
          <w:szCs w:val="22"/>
          <w:highlight w:val="white"/>
        </w:rPr>
        <w:t xml:space="preserve"> La finalidad de la Mesa de Trabajo será promover acciones concretas con motivo de la concientización sobre el uso racional del agua potable para mejorar la protección del medio ambiente dentro de una política de desarrollo sostenible, a través de la confección del manual creado por el artículo 1. </w:t>
      </w:r>
    </w:p>
    <w:p w14:paraId="45120BE9" w14:textId="77777777" w:rsidR="00321E0A" w:rsidRPr="00321E0A" w:rsidRDefault="00321E0A" w:rsidP="006F183C">
      <w:pPr>
        <w:spacing w:before="265"/>
        <w:ind w:right="-1" w:firstLine="7"/>
        <w:jc w:val="both"/>
        <w:rPr>
          <w:rFonts w:asciiTheme="minorHAnsi" w:hAnsiTheme="minorHAnsi" w:cstheme="minorHAnsi"/>
          <w:sz w:val="22"/>
          <w:szCs w:val="22"/>
        </w:rPr>
      </w:pPr>
      <w:r w:rsidRPr="00321E0A">
        <w:rPr>
          <w:rFonts w:asciiTheme="minorHAnsi" w:hAnsiTheme="minorHAnsi" w:cstheme="minorHAnsi"/>
          <w:b/>
          <w:bCs/>
          <w:color w:val="000000"/>
          <w:sz w:val="22"/>
          <w:szCs w:val="22"/>
          <w:highlight w:val="white"/>
          <w:u w:val="single"/>
        </w:rPr>
        <w:t>ARTÍCULO 5:</w:t>
      </w:r>
      <w:r w:rsidRPr="00321E0A">
        <w:rPr>
          <w:rFonts w:asciiTheme="minorHAnsi" w:hAnsiTheme="minorHAnsi" w:cstheme="minorHAnsi"/>
          <w:bCs/>
          <w:color w:val="000000"/>
          <w:sz w:val="22"/>
          <w:szCs w:val="22"/>
          <w:highlight w:val="white"/>
        </w:rPr>
        <w:t xml:space="preserve"> La Mesa de Trabajo sobre Eficiencia y Solidaridad Hídrica contará con la participación de un (1) representante de las siguientes áreas municipales, provinciales y vecinales que se enumeran a continuación: </w:t>
      </w:r>
    </w:p>
    <w:p w14:paraId="605FD072"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a) Un representante del Ejecutivo Municipal. </w:t>
      </w:r>
    </w:p>
    <w:p w14:paraId="56CC8758" w14:textId="77777777" w:rsidR="00321E0A" w:rsidRDefault="00321E0A" w:rsidP="00321E0A">
      <w:pPr>
        <w:spacing w:before="265"/>
        <w:ind w:left="868" w:right="936" w:firstLine="7"/>
        <w:jc w:val="both"/>
        <w:rPr>
          <w:rFonts w:asciiTheme="minorHAnsi" w:hAnsiTheme="minorHAnsi" w:cstheme="minorHAnsi"/>
          <w:bCs/>
          <w:color w:val="000000"/>
          <w:sz w:val="22"/>
          <w:szCs w:val="22"/>
        </w:rPr>
      </w:pPr>
      <w:r w:rsidRPr="00321E0A">
        <w:rPr>
          <w:rFonts w:asciiTheme="minorHAnsi" w:hAnsiTheme="minorHAnsi" w:cstheme="minorHAnsi"/>
          <w:bCs/>
          <w:color w:val="000000"/>
          <w:sz w:val="22"/>
          <w:szCs w:val="22"/>
          <w:highlight w:val="white"/>
        </w:rPr>
        <w:t xml:space="preserve">b) Un representante del Concejo Deliberante. </w:t>
      </w:r>
    </w:p>
    <w:p w14:paraId="7B7A14DD" w14:textId="77777777" w:rsidR="006F183C" w:rsidRDefault="006F183C" w:rsidP="006F183C">
      <w:pPr>
        <w:tabs>
          <w:tab w:val="left" w:pos="8504"/>
        </w:tabs>
        <w:spacing w:before="265"/>
        <w:ind w:right="-1"/>
        <w:contextualSpacing/>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ORDENANZA N° 7155/2021</w:t>
      </w:r>
    </w:p>
    <w:p w14:paraId="157F6989" w14:textId="77777777" w:rsidR="006F183C" w:rsidRDefault="006F183C" w:rsidP="006F183C">
      <w:pPr>
        <w:spacing w:before="265"/>
        <w:ind w:right="-1"/>
        <w:contextualSpacing/>
        <w:jc w:val="right"/>
        <w:rPr>
          <w:rFonts w:asciiTheme="minorHAnsi" w:hAnsiTheme="minorHAnsi" w:cstheme="minorHAnsi"/>
          <w:color w:val="000000"/>
          <w:sz w:val="22"/>
          <w:szCs w:val="22"/>
        </w:rPr>
      </w:pPr>
      <w:r>
        <w:rPr>
          <w:rFonts w:asciiTheme="minorHAnsi" w:hAnsiTheme="minorHAnsi" w:cstheme="minorHAnsi"/>
          <w:color w:val="000000"/>
          <w:sz w:val="22"/>
          <w:szCs w:val="22"/>
        </w:rPr>
        <w:t>HOJA N° 3</w:t>
      </w:r>
    </w:p>
    <w:p w14:paraId="7F712450"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c) Un representante del Ministerio de Salud de la Provincia de Mendoza.</w:t>
      </w:r>
    </w:p>
    <w:p w14:paraId="328B201A"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d) Un representante del Ente Provincial de Agua y Saneamiento.</w:t>
      </w:r>
    </w:p>
    <w:p w14:paraId="1E5B55D9"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e) Un representante del Departamento General de Irrigación. </w:t>
      </w:r>
    </w:p>
    <w:p w14:paraId="30F9157D"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f) Un representante del área de Recursos Hídricos de la Provincia de Mendoza. </w:t>
      </w:r>
    </w:p>
    <w:p w14:paraId="4EB977CD" w14:textId="77777777" w:rsidR="00321E0A" w:rsidRPr="00321E0A" w:rsidRDefault="00321E0A" w:rsidP="006F183C">
      <w:pPr>
        <w:spacing w:before="265"/>
        <w:ind w:left="868" w:right="-1"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g) Un representante vecinal por cada uno de los distritos del Departamento. Los representantes de organismos o entes provinciales como de las comisiones vecinales, serán invitados por el Órgano Ejecutivo Municipal a integrar el equipo de trabajo, debiendo inscribirse en el llamado correspondiente. </w:t>
      </w:r>
    </w:p>
    <w:p w14:paraId="3C35D960" w14:textId="77777777" w:rsidR="00321E0A" w:rsidRPr="00321E0A" w:rsidRDefault="00321E0A" w:rsidP="00321E0A">
      <w:pPr>
        <w:spacing w:before="265"/>
        <w:ind w:right="936" w:firstLine="7"/>
        <w:jc w:val="both"/>
        <w:rPr>
          <w:rFonts w:asciiTheme="minorHAnsi" w:hAnsiTheme="minorHAnsi" w:cstheme="minorHAnsi"/>
          <w:sz w:val="22"/>
          <w:szCs w:val="22"/>
        </w:rPr>
      </w:pPr>
      <w:r w:rsidRPr="00321E0A">
        <w:rPr>
          <w:rFonts w:asciiTheme="minorHAnsi" w:hAnsiTheme="minorHAnsi" w:cstheme="minorHAnsi"/>
          <w:b/>
          <w:bCs/>
          <w:color w:val="000000"/>
          <w:sz w:val="22"/>
          <w:szCs w:val="22"/>
          <w:highlight w:val="white"/>
          <w:u w:val="single"/>
        </w:rPr>
        <w:t>ARTÍCULO 6:</w:t>
      </w:r>
      <w:r w:rsidRPr="00321E0A">
        <w:rPr>
          <w:rFonts w:asciiTheme="minorHAnsi" w:hAnsiTheme="minorHAnsi" w:cstheme="minorHAnsi"/>
          <w:bCs/>
          <w:color w:val="000000"/>
          <w:sz w:val="22"/>
          <w:szCs w:val="22"/>
          <w:highlight w:val="white"/>
        </w:rPr>
        <w:t xml:space="preserve"> Serán objetivos de la mesa trabajo: </w:t>
      </w:r>
    </w:p>
    <w:p w14:paraId="78E112E9" w14:textId="77777777" w:rsidR="00321E0A" w:rsidRPr="00321E0A" w:rsidRDefault="00321E0A" w:rsidP="006F183C">
      <w:pPr>
        <w:spacing w:before="265"/>
        <w:ind w:left="868" w:right="-1"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a) Asegurar a largo plazo la cantidad y calidad de suministro de agua a la ciudadanía, promoviendo el ahorro y la eficiencia en el consumo de agua con la aplicación de las mejores tecnologías disponibles. </w:t>
      </w:r>
    </w:p>
    <w:p w14:paraId="6D9F6915"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b) Promover la reducción del consumo de agua. </w:t>
      </w:r>
    </w:p>
    <w:p w14:paraId="178F2EF6"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c) Fomentar la utilización de recursos hídricos alternativos para aquellos usos que no requieran agua potable.</w:t>
      </w:r>
    </w:p>
    <w:p w14:paraId="6B094F3C"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d) Fomentar la concienciación y sensibilización ciudadana sobre el uso racional del agua.</w:t>
      </w:r>
    </w:p>
    <w:p w14:paraId="5F318FA8" w14:textId="77777777" w:rsidR="00321E0A" w:rsidRPr="00321E0A" w:rsidRDefault="00321E0A" w:rsidP="00321E0A">
      <w:pPr>
        <w:spacing w:before="265"/>
        <w:ind w:left="868" w:right="936" w:firstLine="7"/>
        <w:jc w:val="both"/>
        <w:rPr>
          <w:rFonts w:asciiTheme="minorHAnsi" w:hAnsiTheme="minorHAnsi" w:cstheme="minorHAnsi"/>
          <w:sz w:val="22"/>
          <w:szCs w:val="22"/>
        </w:rPr>
      </w:pPr>
      <w:r w:rsidRPr="00321E0A">
        <w:rPr>
          <w:rFonts w:asciiTheme="minorHAnsi" w:hAnsiTheme="minorHAnsi" w:cstheme="minorHAnsi"/>
          <w:bCs/>
          <w:color w:val="000000"/>
          <w:sz w:val="22"/>
          <w:szCs w:val="22"/>
          <w:highlight w:val="white"/>
        </w:rPr>
        <w:t xml:space="preserve">e) Aumentar el control sobre el riego de zonas verdes públicas y privadas con el fin de optimizar el consumo de agua. </w:t>
      </w:r>
    </w:p>
    <w:p w14:paraId="0B60F860" w14:textId="77777777" w:rsidR="00321E0A" w:rsidRDefault="00321E0A" w:rsidP="00321E0A">
      <w:pPr>
        <w:spacing w:before="265"/>
        <w:ind w:left="868" w:right="936" w:firstLine="7"/>
        <w:jc w:val="both"/>
        <w:rPr>
          <w:rFonts w:asciiTheme="minorHAnsi" w:hAnsiTheme="minorHAnsi" w:cstheme="minorHAnsi"/>
          <w:bCs/>
          <w:color w:val="000000"/>
          <w:sz w:val="22"/>
          <w:szCs w:val="22"/>
        </w:rPr>
      </w:pPr>
      <w:r w:rsidRPr="00321E0A">
        <w:rPr>
          <w:rFonts w:asciiTheme="minorHAnsi" w:hAnsiTheme="minorHAnsi" w:cstheme="minorHAnsi"/>
          <w:bCs/>
          <w:color w:val="000000"/>
          <w:sz w:val="22"/>
          <w:szCs w:val="22"/>
          <w:highlight w:val="white"/>
        </w:rPr>
        <w:t xml:space="preserve">f) Estimular a los ciudadanos para que controlen el consumo del agua a través de la medición y el monitoreo. </w:t>
      </w:r>
    </w:p>
    <w:p w14:paraId="221A2B15" w14:textId="22253446" w:rsidR="0023727F" w:rsidRPr="00321E0A" w:rsidRDefault="00321E0A" w:rsidP="006F183C">
      <w:pPr>
        <w:spacing w:before="265"/>
        <w:ind w:right="-1"/>
        <w:jc w:val="both"/>
        <w:rPr>
          <w:rFonts w:asciiTheme="minorHAnsi" w:hAnsiTheme="minorHAnsi" w:cstheme="minorHAnsi"/>
          <w:sz w:val="22"/>
          <w:szCs w:val="22"/>
          <w:lang w:val="es-AR" w:eastAsia="es-AR"/>
        </w:rPr>
      </w:pPr>
      <w:r w:rsidRPr="00321E0A">
        <w:rPr>
          <w:rFonts w:asciiTheme="minorHAnsi" w:hAnsiTheme="minorHAnsi" w:cstheme="minorHAnsi"/>
          <w:b/>
          <w:bCs/>
          <w:color w:val="000000"/>
          <w:sz w:val="22"/>
          <w:szCs w:val="22"/>
          <w:highlight w:val="white"/>
          <w:u w:val="single"/>
        </w:rPr>
        <w:t>ARTÍCULO 7:</w:t>
      </w:r>
      <w:r w:rsidRPr="00321E0A">
        <w:rPr>
          <w:rFonts w:asciiTheme="minorHAnsi" w:hAnsiTheme="minorHAnsi" w:cstheme="minorHAnsi"/>
          <w:bCs/>
          <w:color w:val="000000"/>
          <w:sz w:val="22"/>
          <w:szCs w:val="22"/>
          <w:highlight w:val="white"/>
        </w:rPr>
        <w:t xml:space="preserve"> El Órgano Ejecutivo Municipal establecerá el esquema de funcionamiento, fijando día, hora y lugar de reunión que será dos (2) veces al año</w:t>
      </w:r>
      <w:r w:rsidR="0023727F" w:rsidRPr="00321E0A">
        <w:rPr>
          <w:rFonts w:asciiTheme="minorHAnsi" w:hAnsiTheme="minorHAnsi" w:cstheme="minorHAnsi"/>
          <w:color w:val="000000"/>
          <w:sz w:val="22"/>
          <w:szCs w:val="22"/>
          <w:shd w:val="clear" w:color="auto" w:fill="FFFFFF"/>
          <w:lang w:val="es-AR" w:eastAsia="es-AR"/>
        </w:rPr>
        <w:t> </w:t>
      </w:r>
    </w:p>
    <w:p w14:paraId="3AAC1417" w14:textId="77777777" w:rsidR="00B12B78" w:rsidRPr="00321E0A" w:rsidRDefault="00B12B78" w:rsidP="00321E0A">
      <w:pPr>
        <w:ind w:left="1080" w:right="-964"/>
        <w:jc w:val="both"/>
        <w:rPr>
          <w:rFonts w:asciiTheme="minorHAnsi" w:eastAsia="Calibri" w:hAnsiTheme="minorHAnsi" w:cstheme="minorHAnsi"/>
          <w:color w:val="000000"/>
          <w:sz w:val="22"/>
          <w:szCs w:val="22"/>
          <w:lang w:val="es-AR" w:eastAsia="es-AR"/>
        </w:rPr>
      </w:pPr>
    </w:p>
    <w:p w14:paraId="768B8481" w14:textId="1837C088" w:rsidR="00B12B78" w:rsidRPr="00321E0A" w:rsidRDefault="00B12B78" w:rsidP="006F183C">
      <w:pPr>
        <w:ind w:left="-5" w:right="-1" w:hanging="10"/>
        <w:jc w:val="both"/>
        <w:rPr>
          <w:rFonts w:asciiTheme="minorHAnsi" w:eastAsia="Calibri" w:hAnsiTheme="minorHAnsi" w:cstheme="minorHAnsi"/>
          <w:color w:val="000000"/>
          <w:sz w:val="22"/>
          <w:szCs w:val="22"/>
          <w:lang w:val="es-AR" w:eastAsia="es-AR"/>
        </w:rPr>
      </w:pPr>
      <w:r w:rsidRPr="00321E0A">
        <w:rPr>
          <w:rFonts w:asciiTheme="minorHAnsi" w:eastAsia="Calibri" w:hAnsiTheme="minorHAnsi" w:cstheme="minorHAnsi"/>
          <w:b/>
          <w:color w:val="000000"/>
          <w:sz w:val="22"/>
          <w:szCs w:val="22"/>
          <w:u w:val="single"/>
          <w:lang w:val="es-AR" w:eastAsia="es-AR"/>
        </w:rPr>
        <w:t xml:space="preserve">ARTÍCULO </w:t>
      </w:r>
      <w:r w:rsidR="0023727F" w:rsidRPr="00321E0A">
        <w:rPr>
          <w:rFonts w:asciiTheme="minorHAnsi" w:eastAsia="Calibri" w:hAnsiTheme="minorHAnsi" w:cstheme="minorHAnsi"/>
          <w:b/>
          <w:color w:val="000000"/>
          <w:sz w:val="22"/>
          <w:szCs w:val="22"/>
          <w:u w:val="single"/>
          <w:lang w:val="es-AR" w:eastAsia="es-AR"/>
        </w:rPr>
        <w:t>8</w:t>
      </w:r>
      <w:r w:rsidRPr="00321E0A">
        <w:rPr>
          <w:rFonts w:asciiTheme="minorHAnsi" w:eastAsia="Calibri" w:hAnsiTheme="minorHAnsi" w:cstheme="minorHAnsi"/>
          <w:b/>
          <w:color w:val="000000"/>
          <w:sz w:val="22"/>
          <w:szCs w:val="22"/>
          <w:u w:val="single"/>
          <w:lang w:val="es-AR" w:eastAsia="es-AR"/>
        </w:rPr>
        <w:t>:</w:t>
      </w:r>
      <w:r w:rsidRPr="00321E0A">
        <w:rPr>
          <w:rFonts w:asciiTheme="minorHAnsi" w:eastAsia="Calibri" w:hAnsiTheme="minorHAnsi" w:cstheme="minorHAnsi"/>
          <w:color w:val="000000"/>
          <w:sz w:val="22"/>
          <w:szCs w:val="22"/>
          <w:lang w:val="es-AR" w:eastAsia="es-AR"/>
        </w:rPr>
        <w:t xml:space="preserve"> Comuníquese al Departamento Ejecutivo, </w:t>
      </w:r>
      <w:proofErr w:type="spellStart"/>
      <w:r w:rsidRPr="00321E0A">
        <w:rPr>
          <w:rFonts w:asciiTheme="minorHAnsi" w:eastAsia="Calibri" w:hAnsiTheme="minorHAnsi" w:cstheme="minorHAnsi"/>
          <w:color w:val="000000"/>
          <w:sz w:val="22"/>
          <w:szCs w:val="22"/>
          <w:lang w:val="es-AR" w:eastAsia="es-AR"/>
        </w:rPr>
        <w:t>dése</w:t>
      </w:r>
      <w:proofErr w:type="spellEnd"/>
      <w:r w:rsidRPr="00321E0A">
        <w:rPr>
          <w:rFonts w:asciiTheme="minorHAnsi" w:eastAsia="Calibri" w:hAnsiTheme="minorHAnsi" w:cstheme="minorHAnsi"/>
          <w:color w:val="000000"/>
          <w:sz w:val="22"/>
          <w:szCs w:val="22"/>
          <w:lang w:val="es-AR" w:eastAsia="es-AR"/>
        </w:rPr>
        <w:t xml:space="preserve"> al registro municipal respectivo, publíquese y cumplido, archívese. </w:t>
      </w:r>
      <w:r w:rsidRPr="00321E0A">
        <w:rPr>
          <w:rFonts w:asciiTheme="minorHAnsi" w:eastAsia="Calibri" w:hAnsiTheme="minorHAnsi" w:cstheme="minorHAnsi"/>
          <w:b/>
          <w:color w:val="000000"/>
          <w:sz w:val="22"/>
          <w:szCs w:val="22"/>
          <w:lang w:val="es-AR" w:eastAsia="es-AR"/>
        </w:rPr>
        <w:t xml:space="preserve"> </w:t>
      </w:r>
    </w:p>
    <w:p w14:paraId="0163ABBF" w14:textId="16DF1082" w:rsidR="00023F77" w:rsidRPr="00321E0A" w:rsidRDefault="00023F77" w:rsidP="00321E0A">
      <w:pPr>
        <w:ind w:right="-964"/>
        <w:jc w:val="both"/>
        <w:rPr>
          <w:rFonts w:asciiTheme="minorHAnsi" w:hAnsiTheme="minorHAnsi" w:cstheme="minorHAnsi"/>
          <w:sz w:val="22"/>
          <w:szCs w:val="22"/>
        </w:rPr>
      </w:pPr>
    </w:p>
    <w:p w14:paraId="67C06F50" w14:textId="6D9E6E1F" w:rsidR="00023F77" w:rsidRPr="00321E0A" w:rsidRDefault="00C309E2" w:rsidP="00321E0A">
      <w:pPr>
        <w:ind w:right="-964"/>
        <w:jc w:val="both"/>
        <w:rPr>
          <w:rFonts w:asciiTheme="minorHAnsi" w:hAnsiTheme="minorHAnsi" w:cstheme="minorHAnsi"/>
          <w:sz w:val="22"/>
          <w:szCs w:val="22"/>
        </w:rPr>
      </w:pPr>
      <w:r w:rsidRPr="00321E0A">
        <w:rPr>
          <w:rFonts w:asciiTheme="minorHAnsi" w:hAnsiTheme="minorHAnsi" w:cstheme="minorHAnsi"/>
          <w:sz w:val="22"/>
          <w:szCs w:val="22"/>
        </w:rPr>
        <w:t>p.m.</w:t>
      </w:r>
    </w:p>
    <w:p w14:paraId="5C7B415B" w14:textId="77777777" w:rsidR="00023F77" w:rsidRPr="00321E0A" w:rsidRDefault="00023F77" w:rsidP="00321E0A">
      <w:pPr>
        <w:ind w:right="-964"/>
        <w:jc w:val="both"/>
        <w:rPr>
          <w:rFonts w:asciiTheme="minorHAnsi" w:hAnsiTheme="minorHAnsi" w:cstheme="minorHAnsi"/>
          <w:sz w:val="22"/>
          <w:szCs w:val="22"/>
        </w:rPr>
      </w:pPr>
    </w:p>
    <w:p w14:paraId="7F871792" w14:textId="594E7DEC" w:rsidR="00023F77" w:rsidRPr="00321E0A" w:rsidRDefault="00023F77" w:rsidP="006F183C">
      <w:pPr>
        <w:ind w:right="-1"/>
        <w:jc w:val="both"/>
        <w:rPr>
          <w:rFonts w:asciiTheme="minorHAnsi" w:hAnsiTheme="minorHAnsi" w:cstheme="minorHAnsi"/>
          <w:b/>
          <w:bCs/>
          <w:sz w:val="22"/>
          <w:szCs w:val="22"/>
        </w:rPr>
      </w:pPr>
      <w:r w:rsidRPr="00321E0A">
        <w:rPr>
          <w:rFonts w:asciiTheme="minorHAnsi" w:hAnsiTheme="minorHAnsi" w:cstheme="minorHAnsi"/>
          <w:b/>
          <w:bCs/>
          <w:sz w:val="22"/>
          <w:szCs w:val="22"/>
        </w:rPr>
        <w:t xml:space="preserve">DADA EN SALA DE SESIONES, EN SESIÓN ORDINARIA DEL DÍA </w:t>
      </w:r>
      <w:r w:rsidR="00C309E2" w:rsidRPr="00321E0A">
        <w:rPr>
          <w:rFonts w:asciiTheme="minorHAnsi" w:hAnsiTheme="minorHAnsi" w:cstheme="minorHAnsi"/>
          <w:b/>
          <w:bCs/>
          <w:sz w:val="22"/>
          <w:szCs w:val="22"/>
        </w:rPr>
        <w:t>DIEZ DE MAY</w:t>
      </w:r>
      <w:r w:rsidRPr="00321E0A">
        <w:rPr>
          <w:rFonts w:asciiTheme="minorHAnsi" w:hAnsiTheme="minorHAnsi" w:cstheme="minorHAnsi"/>
          <w:b/>
          <w:bCs/>
          <w:sz w:val="22"/>
          <w:szCs w:val="22"/>
        </w:rPr>
        <w:t>O DEL AÑO DOS MIL VINTIUNO</w:t>
      </w:r>
    </w:p>
    <w:p w14:paraId="5883F7A8" w14:textId="77777777" w:rsidR="001F0B94" w:rsidRPr="00321E0A" w:rsidRDefault="001F0B94" w:rsidP="00321E0A">
      <w:pPr>
        <w:ind w:right="-964"/>
        <w:jc w:val="both"/>
        <w:rPr>
          <w:rFonts w:asciiTheme="minorHAnsi" w:hAnsiTheme="minorHAnsi" w:cstheme="minorHAnsi"/>
          <w:sz w:val="22"/>
          <w:szCs w:val="22"/>
        </w:rPr>
      </w:pPr>
    </w:p>
    <w:p w14:paraId="37FC8B90" w14:textId="43F75291" w:rsidR="002253DD" w:rsidRPr="00321E0A" w:rsidRDefault="002253DD" w:rsidP="00321E0A">
      <w:pPr>
        <w:ind w:right="-964"/>
        <w:jc w:val="both"/>
        <w:rPr>
          <w:rFonts w:asciiTheme="minorHAnsi" w:hAnsiTheme="minorHAnsi" w:cstheme="minorHAnsi"/>
          <w:b/>
          <w:bCs/>
          <w:sz w:val="22"/>
          <w:szCs w:val="22"/>
        </w:rPr>
      </w:pPr>
      <w:bookmarkStart w:id="1" w:name="_GoBack"/>
      <w:bookmarkEnd w:id="1"/>
    </w:p>
    <w:sectPr w:rsidR="002253DD" w:rsidRPr="00321E0A" w:rsidSect="005E24B5">
      <w:headerReference w:type="default" r:id="rId9"/>
      <w:footerReference w:type="default" r:id="rId10"/>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F3FD" w14:textId="77777777" w:rsidR="00321E0A" w:rsidRDefault="00321E0A" w:rsidP="00454243">
      <w:r>
        <w:separator/>
      </w:r>
    </w:p>
  </w:endnote>
  <w:endnote w:type="continuationSeparator" w:id="0">
    <w:p w14:paraId="2AE2F939" w14:textId="77777777" w:rsidR="00321E0A" w:rsidRDefault="00321E0A"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321E0A" w:rsidRDefault="00321E0A">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321E0A" w:rsidRPr="00950DFB" w:rsidRDefault="00321E0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321E0A" w:rsidRPr="00CC124D" w:rsidRDefault="00321E0A"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321E0A" w:rsidRPr="00CC124D" w:rsidRDefault="00321E0A"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23727F" w:rsidRPr="00950DFB" w:rsidRDefault="0023727F"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23727F" w:rsidRPr="00CC124D" w:rsidRDefault="0023727F"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23727F" w:rsidRPr="00CC124D" w:rsidRDefault="0023727F"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321E0A" w:rsidRPr="00A177F4" w:rsidRDefault="00321E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23727F" w:rsidRPr="00A177F4" w:rsidRDefault="0023727F">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321E0A" w:rsidRPr="00F91F8A" w:rsidRDefault="00321E0A"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321E0A" w:rsidRPr="00F91F8A" w:rsidRDefault="00321E0A"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23727F" w:rsidRPr="00F91F8A" w:rsidRDefault="0023727F"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23727F" w:rsidRPr="00F91F8A" w:rsidRDefault="0023727F"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DCFD" w14:textId="77777777" w:rsidR="00321E0A" w:rsidRDefault="00321E0A" w:rsidP="00454243">
      <w:r>
        <w:separator/>
      </w:r>
    </w:p>
  </w:footnote>
  <w:footnote w:type="continuationSeparator" w:id="0">
    <w:p w14:paraId="386DB74C" w14:textId="77777777" w:rsidR="00321E0A" w:rsidRDefault="00321E0A"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20B" w14:textId="77777777" w:rsidR="00321E0A" w:rsidRDefault="00321E0A" w:rsidP="005944B6">
    <w:pPr>
      <w:pStyle w:val="Encabezado"/>
      <w:rPr>
        <w:rFonts w:asciiTheme="minorHAnsi" w:hAnsiTheme="minorHAnsi" w:cstheme="minorHAnsi"/>
        <w:noProof/>
        <w:color w:val="7030A0"/>
        <w:sz w:val="22"/>
        <w:szCs w:val="22"/>
      </w:rPr>
    </w:pPr>
    <w:bookmarkStart w:id="2" w:name="_Hlk502147258"/>
    <w:bookmarkStart w:id="3" w:name="_Hlk502147259"/>
  </w:p>
  <w:p w14:paraId="46B1C235" w14:textId="73E9CCBE" w:rsidR="00321E0A" w:rsidRDefault="00321E0A" w:rsidP="005944B6">
    <w:pPr>
      <w:pStyle w:val="Encabezado"/>
      <w:rPr>
        <w:rFonts w:asciiTheme="minorHAnsi" w:hAnsiTheme="minorHAnsi" w:cstheme="minorHAnsi"/>
        <w:noProof/>
        <w:color w:val="7030A0"/>
        <w:sz w:val="22"/>
        <w:szCs w:val="22"/>
      </w:rPr>
    </w:pPr>
    <w:r>
      <w:rPr>
        <w:noProof/>
        <w:lang w:val="es-AR"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7030A0"/>
        <w:sz w:val="22"/>
        <w:szCs w:val="22"/>
      </w:rPr>
      <w:t>2</w:t>
    </w:r>
    <w:r w:rsidRPr="006863CA">
      <w:rPr>
        <w:rFonts w:asciiTheme="minorHAnsi" w:hAnsiTheme="minorHAnsi" w:cstheme="minorHAnsi"/>
        <w:noProof/>
        <w:color w:val="7030A0"/>
        <w:sz w:val="22"/>
        <w:szCs w:val="22"/>
      </w:rPr>
      <w:t>021</w:t>
    </w:r>
  </w:p>
  <w:p w14:paraId="09EC5BB7" w14:textId="287088B7" w:rsidR="00321E0A" w:rsidRPr="006863CA" w:rsidRDefault="00321E0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321E0A" w:rsidRPr="006863CA" w:rsidRDefault="00321E0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321E0A" w:rsidRPr="006863CA" w:rsidRDefault="00321E0A" w:rsidP="005944B6">
    <w:pPr>
      <w:pStyle w:val="Encabezado"/>
      <w:rPr>
        <w:rFonts w:asciiTheme="minorHAnsi" w:hAnsiTheme="minorHAnsi" w:cstheme="minorHAnsi"/>
      </w:rPr>
    </w:pPr>
  </w:p>
  <w:bookmarkEnd w:id="2"/>
  <w:bookmarkEnd w:id="3"/>
  <w:p w14:paraId="01FBED5F" w14:textId="77777777" w:rsidR="00321E0A" w:rsidRDefault="00321E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922"/>
    <w:multiLevelType w:val="hybridMultilevel"/>
    <w:tmpl w:val="05A4B4FA"/>
    <w:lvl w:ilvl="0" w:tplc="76F079B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48585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A4C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60AC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E5A5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D208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EAEB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565C1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6853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51225341"/>
    <w:multiLevelType w:val="hybridMultilevel"/>
    <w:tmpl w:val="681C99A6"/>
    <w:lvl w:ilvl="0" w:tplc="2C0A000F">
      <w:start w:val="1"/>
      <w:numFmt w:val="decimal"/>
      <w:lvlText w:val="%1."/>
      <w:lvlJc w:val="left"/>
      <w:pPr>
        <w:ind w:left="862" w:hanging="360"/>
      </w:p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3">
    <w:nsid w:val="7D434A7F"/>
    <w:multiLevelType w:val="hybridMultilevel"/>
    <w:tmpl w:val="4718E532"/>
    <w:lvl w:ilvl="0" w:tplc="76F079BE">
      <w:start w:val="1"/>
      <w:numFmt w:val="bullet"/>
      <w:lvlText w:val="•"/>
      <w:lvlJc w:val="left"/>
      <w:pPr>
        <w:ind w:left="1429"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23F77"/>
    <w:rsid w:val="000800D3"/>
    <w:rsid w:val="000A6B3F"/>
    <w:rsid w:val="000D6EED"/>
    <w:rsid w:val="000E63F5"/>
    <w:rsid w:val="00112DC6"/>
    <w:rsid w:val="00116EA8"/>
    <w:rsid w:val="001A123F"/>
    <w:rsid w:val="001F0B94"/>
    <w:rsid w:val="00225215"/>
    <w:rsid w:val="002253DD"/>
    <w:rsid w:val="0023727F"/>
    <w:rsid w:val="00253779"/>
    <w:rsid w:val="002753E0"/>
    <w:rsid w:val="002A0EB1"/>
    <w:rsid w:val="003057C8"/>
    <w:rsid w:val="00305B16"/>
    <w:rsid w:val="00315D70"/>
    <w:rsid w:val="00321E0A"/>
    <w:rsid w:val="00373DF4"/>
    <w:rsid w:val="003A4EA1"/>
    <w:rsid w:val="003A4EAA"/>
    <w:rsid w:val="003F3DDE"/>
    <w:rsid w:val="00416129"/>
    <w:rsid w:val="00452ADC"/>
    <w:rsid w:val="00454243"/>
    <w:rsid w:val="0045574D"/>
    <w:rsid w:val="0046394A"/>
    <w:rsid w:val="004D19AD"/>
    <w:rsid w:val="005352A5"/>
    <w:rsid w:val="005559BD"/>
    <w:rsid w:val="00570C34"/>
    <w:rsid w:val="005944B6"/>
    <w:rsid w:val="005B51D6"/>
    <w:rsid w:val="005E24B5"/>
    <w:rsid w:val="005F1FBE"/>
    <w:rsid w:val="006017FB"/>
    <w:rsid w:val="00624FFC"/>
    <w:rsid w:val="00653B33"/>
    <w:rsid w:val="0065443E"/>
    <w:rsid w:val="006863CA"/>
    <w:rsid w:val="006C32D2"/>
    <w:rsid w:val="006C40CD"/>
    <w:rsid w:val="006F183C"/>
    <w:rsid w:val="0073754B"/>
    <w:rsid w:val="007C4AE1"/>
    <w:rsid w:val="007C4F96"/>
    <w:rsid w:val="007D1161"/>
    <w:rsid w:val="007F280F"/>
    <w:rsid w:val="007F6401"/>
    <w:rsid w:val="00820395"/>
    <w:rsid w:val="0086256A"/>
    <w:rsid w:val="00884C3A"/>
    <w:rsid w:val="008A58A6"/>
    <w:rsid w:val="008C0BD2"/>
    <w:rsid w:val="008D414E"/>
    <w:rsid w:val="009027A5"/>
    <w:rsid w:val="00950DFB"/>
    <w:rsid w:val="00992277"/>
    <w:rsid w:val="009B0A39"/>
    <w:rsid w:val="00A177F4"/>
    <w:rsid w:val="00A51A1C"/>
    <w:rsid w:val="00A828B1"/>
    <w:rsid w:val="00AF75EC"/>
    <w:rsid w:val="00B12B78"/>
    <w:rsid w:val="00BC214E"/>
    <w:rsid w:val="00BC6990"/>
    <w:rsid w:val="00C242DC"/>
    <w:rsid w:val="00C257B4"/>
    <w:rsid w:val="00C27E43"/>
    <w:rsid w:val="00C309E2"/>
    <w:rsid w:val="00C9384A"/>
    <w:rsid w:val="00CB110A"/>
    <w:rsid w:val="00CB7787"/>
    <w:rsid w:val="00CC124D"/>
    <w:rsid w:val="00CD33B4"/>
    <w:rsid w:val="00D2570B"/>
    <w:rsid w:val="00D81B6E"/>
    <w:rsid w:val="00D930B5"/>
    <w:rsid w:val="00DA1DF8"/>
    <w:rsid w:val="00DB04C0"/>
    <w:rsid w:val="00E00746"/>
    <w:rsid w:val="00E60157"/>
    <w:rsid w:val="00E610D3"/>
    <w:rsid w:val="00E670C6"/>
    <w:rsid w:val="00E81051"/>
    <w:rsid w:val="00E812E5"/>
    <w:rsid w:val="00EA68D4"/>
    <w:rsid w:val="00EF25D2"/>
    <w:rsid w:val="00EF769B"/>
    <w:rsid w:val="00F247B5"/>
    <w:rsid w:val="00F46AB1"/>
    <w:rsid w:val="00F91F8A"/>
    <w:rsid w:val="00F974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C309E2"/>
    <w:pPr>
      <w:spacing w:before="100" w:beforeAutospacing="1" w:after="100" w:afterAutospacing="1"/>
    </w:pPr>
    <w:rPr>
      <w:lang w:val="es-AR" w:eastAsia="es-AR"/>
    </w:rPr>
  </w:style>
  <w:style w:type="character" w:customStyle="1" w:styleId="apple-tab-span">
    <w:name w:val="apple-tab-span"/>
    <w:basedOn w:val="Fuentedeprrafopredeter"/>
    <w:rsid w:val="0023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C309E2"/>
    <w:pPr>
      <w:spacing w:before="100" w:beforeAutospacing="1" w:after="100" w:afterAutospacing="1"/>
    </w:pPr>
    <w:rPr>
      <w:lang w:val="es-AR" w:eastAsia="es-AR"/>
    </w:rPr>
  </w:style>
  <w:style w:type="character" w:customStyle="1" w:styleId="apple-tab-span">
    <w:name w:val="apple-tab-span"/>
    <w:basedOn w:val="Fuentedeprrafopredeter"/>
    <w:rsid w:val="0023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8635">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8383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E642-DA09-46C4-B2A4-9A26EBDE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4</cp:revision>
  <cp:lastPrinted>2021-05-13T16:30:00Z</cp:lastPrinted>
  <dcterms:created xsi:type="dcterms:W3CDTF">2021-05-12T13:44:00Z</dcterms:created>
  <dcterms:modified xsi:type="dcterms:W3CDTF">2021-05-13T16:30:00Z</dcterms:modified>
</cp:coreProperties>
</file>