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8987" w14:textId="77777777" w:rsidR="00BC6990" w:rsidRPr="00C27A3F" w:rsidRDefault="00BC6990">
      <w:pPr>
        <w:rPr>
          <w:rFonts w:asciiTheme="minorHAnsi" w:hAnsiTheme="minorHAnsi" w:cstheme="minorHAnsi"/>
          <w:sz w:val="22"/>
          <w:szCs w:val="22"/>
        </w:rPr>
      </w:pPr>
    </w:p>
    <w:p w14:paraId="08E270A9" w14:textId="77777777" w:rsidR="004602E1" w:rsidRDefault="004602E1" w:rsidP="00BC6990">
      <w:pPr>
        <w:jc w:val="right"/>
        <w:rPr>
          <w:rFonts w:asciiTheme="minorHAnsi" w:hAnsiTheme="minorHAnsi" w:cstheme="minorHAnsi"/>
          <w:b/>
          <w:bCs/>
          <w:sz w:val="22"/>
          <w:szCs w:val="22"/>
          <w:u w:val="single"/>
        </w:rPr>
      </w:pPr>
    </w:p>
    <w:p w14:paraId="04C5F157" w14:textId="4066D921" w:rsidR="00BC6990" w:rsidRPr="00C27A3F" w:rsidRDefault="00DB288F" w:rsidP="00BC6990">
      <w:pPr>
        <w:jc w:val="right"/>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ORDENANZA</w:t>
      </w:r>
      <w:r w:rsidR="00BC6990" w:rsidRPr="00C27A3F">
        <w:rPr>
          <w:rFonts w:asciiTheme="minorHAnsi" w:hAnsiTheme="minorHAnsi" w:cstheme="minorHAnsi"/>
          <w:b/>
          <w:bCs/>
          <w:sz w:val="22"/>
          <w:szCs w:val="22"/>
          <w:u w:val="single"/>
        </w:rPr>
        <w:t xml:space="preserve"> Nº </w:t>
      </w:r>
      <w:r w:rsidR="00C27A3F" w:rsidRPr="00C27A3F">
        <w:rPr>
          <w:rFonts w:asciiTheme="minorHAnsi" w:hAnsiTheme="minorHAnsi" w:cstheme="minorHAnsi"/>
          <w:b/>
          <w:bCs/>
          <w:sz w:val="22"/>
          <w:szCs w:val="22"/>
          <w:u w:val="single"/>
        </w:rPr>
        <w:t>70</w:t>
      </w:r>
      <w:r w:rsidR="00C31E8D">
        <w:rPr>
          <w:rFonts w:asciiTheme="minorHAnsi" w:hAnsiTheme="minorHAnsi" w:cstheme="minorHAnsi"/>
          <w:b/>
          <w:bCs/>
          <w:sz w:val="22"/>
          <w:szCs w:val="22"/>
          <w:u w:val="single"/>
        </w:rPr>
        <w:t>39</w:t>
      </w:r>
      <w:r w:rsidR="00BC6990" w:rsidRPr="00C27A3F">
        <w:rPr>
          <w:rFonts w:asciiTheme="minorHAnsi" w:hAnsiTheme="minorHAnsi" w:cstheme="minorHAnsi"/>
          <w:b/>
          <w:bCs/>
          <w:sz w:val="22"/>
          <w:szCs w:val="22"/>
          <w:u w:val="single"/>
        </w:rPr>
        <w:t>/20</w:t>
      </w:r>
    </w:p>
    <w:p w14:paraId="7208A6AF" w14:textId="77777777" w:rsidR="004602E1" w:rsidRDefault="004602E1" w:rsidP="00BC6990">
      <w:pPr>
        <w:jc w:val="both"/>
        <w:rPr>
          <w:rFonts w:asciiTheme="minorHAnsi" w:hAnsiTheme="minorHAnsi" w:cstheme="minorHAnsi"/>
          <w:b/>
          <w:bCs/>
          <w:sz w:val="22"/>
          <w:szCs w:val="22"/>
          <w:u w:val="single"/>
        </w:rPr>
      </w:pPr>
    </w:p>
    <w:p w14:paraId="74BDF118" w14:textId="77777777" w:rsidR="00BC6990" w:rsidRDefault="00BC6990" w:rsidP="00BC6990">
      <w:pPr>
        <w:jc w:val="both"/>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VISTO:</w:t>
      </w:r>
    </w:p>
    <w:p w14:paraId="15FD5B2C" w14:textId="77777777" w:rsidR="00F872D2" w:rsidRPr="00C27A3F" w:rsidRDefault="00F872D2" w:rsidP="00BC6990">
      <w:pPr>
        <w:jc w:val="both"/>
        <w:rPr>
          <w:rFonts w:asciiTheme="minorHAnsi" w:hAnsiTheme="minorHAnsi" w:cstheme="minorHAnsi"/>
          <w:b/>
          <w:bCs/>
          <w:sz w:val="22"/>
          <w:szCs w:val="22"/>
          <w:u w:val="single"/>
        </w:rPr>
      </w:pPr>
    </w:p>
    <w:p w14:paraId="4D93FB6D" w14:textId="77777777" w:rsidR="00D6673F" w:rsidRDefault="00AA1214"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El </w:t>
      </w:r>
      <w:proofErr w:type="spellStart"/>
      <w:r>
        <w:rPr>
          <w:rFonts w:asciiTheme="minorHAnsi" w:hAnsiTheme="minorHAnsi" w:cstheme="minorHAnsi"/>
          <w:sz w:val="22"/>
          <w:szCs w:val="22"/>
        </w:rPr>
        <w:t>Expte</w:t>
      </w:r>
      <w:proofErr w:type="spellEnd"/>
      <w:r>
        <w:rPr>
          <w:rFonts w:asciiTheme="minorHAnsi" w:hAnsiTheme="minorHAnsi" w:cstheme="minorHAnsi"/>
          <w:sz w:val="22"/>
          <w:szCs w:val="22"/>
        </w:rPr>
        <w:t>. N</w:t>
      </w:r>
      <w:r w:rsidRPr="00AA1214">
        <w:rPr>
          <w:rFonts w:asciiTheme="minorHAnsi" w:hAnsiTheme="minorHAnsi" w:cstheme="minorHAnsi"/>
          <w:sz w:val="22"/>
          <w:szCs w:val="22"/>
        </w:rPr>
        <w:t xml:space="preserve">º 2018-H-149, caratulado: “PRESIDENCIA HCD CONCEJAL CATTANEO CESAR Y BLOQUE FRENTE CAMBIA MENDOZA CONCEJAL ZLOBEC MARIANA </w:t>
      </w:r>
      <w:r>
        <w:rPr>
          <w:rFonts w:asciiTheme="minorHAnsi" w:hAnsiTheme="minorHAnsi" w:cstheme="minorHAnsi"/>
          <w:sz w:val="22"/>
          <w:szCs w:val="22"/>
        </w:rPr>
        <w:t xml:space="preserve">- </w:t>
      </w:r>
      <w:r w:rsidRPr="00AA1214">
        <w:rPr>
          <w:rFonts w:asciiTheme="minorHAnsi" w:hAnsiTheme="minorHAnsi" w:cstheme="minorHAnsi"/>
          <w:sz w:val="22"/>
          <w:szCs w:val="22"/>
        </w:rPr>
        <w:t xml:space="preserve">E/ PROYECTO DE ORDENANZA S/INSTITUIR LA POLÍTICA DE INCLUSIÓN LABORAL DE PERSONAS TRANS EN EL DEPARTAMENTO DE GODOY CRUZ”; y </w:t>
      </w:r>
    </w:p>
    <w:p w14:paraId="384D9612" w14:textId="77777777" w:rsidR="00D6673F" w:rsidRPr="00D6673F" w:rsidRDefault="00AA1214" w:rsidP="00AA1214">
      <w:pPr>
        <w:pStyle w:val="NormalWeb"/>
        <w:spacing w:before="168" w:beforeAutospacing="0" w:after="0" w:afterAutospacing="0"/>
        <w:ind w:right="245"/>
        <w:jc w:val="both"/>
        <w:rPr>
          <w:rFonts w:asciiTheme="minorHAnsi" w:hAnsiTheme="minorHAnsi" w:cstheme="minorHAnsi"/>
          <w:b/>
          <w:sz w:val="22"/>
          <w:szCs w:val="22"/>
          <w:u w:val="single"/>
        </w:rPr>
      </w:pPr>
      <w:r w:rsidRPr="00D6673F">
        <w:rPr>
          <w:rFonts w:asciiTheme="minorHAnsi" w:hAnsiTheme="minorHAnsi" w:cstheme="minorHAnsi"/>
          <w:b/>
          <w:sz w:val="22"/>
          <w:szCs w:val="22"/>
          <w:u w:val="single"/>
        </w:rPr>
        <w:t xml:space="preserve">CONSIDERANDO: </w:t>
      </w:r>
    </w:p>
    <w:p w14:paraId="2E538D1D"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el presente proyecto de Ordenanza fue elaborado en el marco del Programa de Voluntariado Legislativo 2018 de Fundación para el Desarrollo Cívico Ciudadano, desarrollado en la Nave Universitaria de la Universidad Nacional de Cuyo, con el objeto de facilitar a estudiantes universitarios herramientas teórico-prácticas en pos de la construcción colaborativa de políticas públicas. </w:t>
      </w:r>
    </w:p>
    <w:p w14:paraId="02EA7682"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los y las participantes que han contribuido en el presente proyecto son Eliana </w:t>
      </w:r>
      <w:proofErr w:type="spellStart"/>
      <w:r w:rsidR="00AA1214" w:rsidRPr="00AA1214">
        <w:rPr>
          <w:rFonts w:asciiTheme="minorHAnsi" w:hAnsiTheme="minorHAnsi" w:cstheme="minorHAnsi"/>
          <w:sz w:val="22"/>
          <w:szCs w:val="22"/>
        </w:rPr>
        <w:t>Antonella</w:t>
      </w:r>
      <w:proofErr w:type="spellEnd"/>
      <w:r w:rsidR="00AA1214" w:rsidRPr="00AA1214">
        <w:rPr>
          <w:rFonts w:asciiTheme="minorHAnsi" w:hAnsiTheme="minorHAnsi" w:cstheme="minorHAnsi"/>
          <w:sz w:val="22"/>
          <w:szCs w:val="22"/>
        </w:rPr>
        <w:t xml:space="preserve"> </w:t>
      </w:r>
      <w:proofErr w:type="spellStart"/>
      <w:r w:rsidR="00AA1214" w:rsidRPr="00AA1214">
        <w:rPr>
          <w:rFonts w:asciiTheme="minorHAnsi" w:hAnsiTheme="minorHAnsi" w:cstheme="minorHAnsi"/>
          <w:sz w:val="22"/>
          <w:szCs w:val="22"/>
        </w:rPr>
        <w:t>Ghilardi</w:t>
      </w:r>
      <w:proofErr w:type="spellEnd"/>
      <w:r w:rsidR="00AA1214" w:rsidRPr="00AA1214">
        <w:rPr>
          <w:rFonts w:asciiTheme="minorHAnsi" w:hAnsiTheme="minorHAnsi" w:cstheme="minorHAnsi"/>
          <w:sz w:val="22"/>
          <w:szCs w:val="22"/>
        </w:rPr>
        <w:t xml:space="preserve"> </w:t>
      </w:r>
      <w:proofErr w:type="spellStart"/>
      <w:r w:rsidR="00AA1214" w:rsidRPr="00AA1214">
        <w:rPr>
          <w:rFonts w:asciiTheme="minorHAnsi" w:hAnsiTheme="minorHAnsi" w:cstheme="minorHAnsi"/>
          <w:sz w:val="22"/>
          <w:szCs w:val="22"/>
        </w:rPr>
        <w:t>Andrioni</w:t>
      </w:r>
      <w:proofErr w:type="spellEnd"/>
      <w:r w:rsidR="00AA1214" w:rsidRPr="00AA1214">
        <w:rPr>
          <w:rFonts w:asciiTheme="minorHAnsi" w:hAnsiTheme="minorHAnsi" w:cstheme="minorHAnsi"/>
          <w:sz w:val="22"/>
          <w:szCs w:val="22"/>
        </w:rPr>
        <w:t xml:space="preserve"> (DNI 40230824), Yamila Paz </w:t>
      </w:r>
      <w:proofErr w:type="spellStart"/>
      <w:r w:rsidR="00AA1214" w:rsidRPr="00AA1214">
        <w:rPr>
          <w:rFonts w:asciiTheme="minorHAnsi" w:hAnsiTheme="minorHAnsi" w:cstheme="minorHAnsi"/>
          <w:sz w:val="22"/>
          <w:szCs w:val="22"/>
        </w:rPr>
        <w:t>Bulich</w:t>
      </w:r>
      <w:proofErr w:type="spellEnd"/>
      <w:r w:rsidR="00AA1214" w:rsidRPr="00AA1214">
        <w:rPr>
          <w:rFonts w:asciiTheme="minorHAnsi" w:hAnsiTheme="minorHAnsi" w:cstheme="minorHAnsi"/>
          <w:sz w:val="22"/>
          <w:szCs w:val="22"/>
        </w:rPr>
        <w:t xml:space="preserve"> Castilla (DNI 39768321), Andrés Hugo </w:t>
      </w:r>
      <w:proofErr w:type="spellStart"/>
      <w:r w:rsidR="00AA1214" w:rsidRPr="00AA1214">
        <w:rPr>
          <w:rFonts w:asciiTheme="minorHAnsi" w:hAnsiTheme="minorHAnsi" w:cstheme="minorHAnsi"/>
          <w:sz w:val="22"/>
          <w:szCs w:val="22"/>
        </w:rPr>
        <w:t>Barbeito</w:t>
      </w:r>
      <w:proofErr w:type="spellEnd"/>
      <w:r w:rsidR="00AA1214" w:rsidRPr="00AA1214">
        <w:rPr>
          <w:rFonts w:asciiTheme="minorHAnsi" w:hAnsiTheme="minorHAnsi" w:cstheme="minorHAnsi"/>
          <w:sz w:val="22"/>
          <w:szCs w:val="22"/>
        </w:rPr>
        <w:t xml:space="preserve"> (DNI 37486834) y Josefina Soledad </w:t>
      </w:r>
      <w:proofErr w:type="spellStart"/>
      <w:r w:rsidR="00AA1214" w:rsidRPr="00AA1214">
        <w:rPr>
          <w:rFonts w:asciiTheme="minorHAnsi" w:hAnsiTheme="minorHAnsi" w:cstheme="minorHAnsi"/>
          <w:sz w:val="22"/>
          <w:szCs w:val="22"/>
        </w:rPr>
        <w:t>Atiye</w:t>
      </w:r>
      <w:proofErr w:type="spellEnd"/>
      <w:r w:rsidR="00AA1214" w:rsidRPr="00AA1214">
        <w:rPr>
          <w:rFonts w:asciiTheme="minorHAnsi" w:hAnsiTheme="minorHAnsi" w:cstheme="minorHAnsi"/>
          <w:sz w:val="22"/>
          <w:szCs w:val="22"/>
        </w:rPr>
        <w:t xml:space="preserve"> (DNI 36814702); quienes estuvieron acompañando técnicamente por Leandro Daniel </w:t>
      </w:r>
      <w:proofErr w:type="spellStart"/>
      <w:r w:rsidR="00AA1214" w:rsidRPr="00AA1214">
        <w:rPr>
          <w:rFonts w:asciiTheme="minorHAnsi" w:hAnsiTheme="minorHAnsi" w:cstheme="minorHAnsi"/>
          <w:sz w:val="22"/>
          <w:szCs w:val="22"/>
        </w:rPr>
        <w:t>Fruitos</w:t>
      </w:r>
      <w:proofErr w:type="spellEnd"/>
      <w:r w:rsidR="00AA1214" w:rsidRPr="00AA1214">
        <w:rPr>
          <w:rFonts w:asciiTheme="minorHAnsi" w:hAnsiTheme="minorHAnsi" w:cstheme="minorHAnsi"/>
          <w:sz w:val="22"/>
          <w:szCs w:val="22"/>
        </w:rPr>
        <w:t xml:space="preserve"> (DNI 36876354), María Mercedes Ordoñez (DNI 38888868) y Agustín Boato (DNI 39235583). </w:t>
      </w:r>
    </w:p>
    <w:p w14:paraId="00EA8D3D"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Que</w:t>
      </w:r>
      <w:r w:rsidR="0057765D">
        <w:rPr>
          <w:rFonts w:asciiTheme="minorHAnsi" w:hAnsiTheme="minorHAnsi" w:cstheme="minorHAnsi"/>
          <w:sz w:val="22"/>
          <w:szCs w:val="22"/>
        </w:rPr>
        <w:t xml:space="preserve"> </w:t>
      </w:r>
      <w:r w:rsidRPr="00AA1214">
        <w:rPr>
          <w:rFonts w:asciiTheme="minorHAnsi" w:hAnsiTheme="minorHAnsi" w:cstheme="minorHAnsi"/>
          <w:sz w:val="22"/>
          <w:szCs w:val="22"/>
        </w:rPr>
        <w:t xml:space="preserve"> el trabajo es uno de los factores claves para el des</w:t>
      </w:r>
      <w:r w:rsidR="0057765D">
        <w:rPr>
          <w:rFonts w:asciiTheme="minorHAnsi" w:hAnsiTheme="minorHAnsi" w:cstheme="minorHAnsi"/>
          <w:sz w:val="22"/>
          <w:szCs w:val="22"/>
        </w:rPr>
        <w:t>arrollo del ser humano; siendo é</w:t>
      </w:r>
      <w:r w:rsidRPr="00AA1214">
        <w:rPr>
          <w:rFonts w:asciiTheme="minorHAnsi" w:hAnsiTheme="minorHAnsi" w:cstheme="minorHAnsi"/>
          <w:sz w:val="22"/>
          <w:szCs w:val="22"/>
        </w:rPr>
        <w:t xml:space="preserve">ste no sólo básico para la subsistencia, sino dador de identidad, además de formar y mantener gran parte del bienestar subjetivo de las personas. </w:t>
      </w:r>
    </w:p>
    <w:p w14:paraId="120A49F6"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Que </w:t>
      </w:r>
      <w:r w:rsidR="00AA1214" w:rsidRPr="00AA1214">
        <w:rPr>
          <w:rFonts w:asciiTheme="minorHAnsi" w:hAnsiTheme="minorHAnsi" w:cstheme="minorHAnsi"/>
          <w:sz w:val="22"/>
          <w:szCs w:val="22"/>
        </w:rPr>
        <w:t xml:space="preserve">es responsabilidad del Estado en todos sus niveles remover los obstáculos sociales y culturales que limitan de hecho la igualdad y la libertad de los individuos, impidan el libre desarrollo de la persona humana y la efectiva participación de todos en la vida política, económica y social de nuestro país. </w:t>
      </w:r>
    </w:p>
    <w:p w14:paraId="3E795558"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Que el Artículo 14 de la Constitución Nacional, establece que TODOS los habitantes de la nación gozan del derecho a trabajar, y que ese trabajo según el Artículo 14 bis de la misma, gozará de protección de las leyes las cuales aseguran al trabajador o trabajadora condiciones dignas y equitativas imponiendo al Estado el deber de otorgar beneficios de seguridad social de carácter integral e irrenunciable. </w:t>
      </w:r>
    </w:p>
    <w:p w14:paraId="601F8EF5"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la declaración social-laboral del MERCOSUR de 1998 establece en su art 2° de los derechos individuales que : “Todo trabajador tiene garantizada la igualdad efectiva de derechos, tratamiento y oportunidad en el empleo y ocupación , sin distinción o exclusión por motivo de raza, origen nacional, color</w:t>
      </w:r>
      <w:r>
        <w:rPr>
          <w:rFonts w:asciiTheme="minorHAnsi" w:hAnsiTheme="minorHAnsi" w:cstheme="minorHAnsi"/>
          <w:sz w:val="22"/>
          <w:szCs w:val="22"/>
        </w:rPr>
        <w:t>, sexo u orientación sexual</w:t>
      </w:r>
      <w:r w:rsidR="00AA1214" w:rsidRPr="00AA1214">
        <w:rPr>
          <w:rFonts w:asciiTheme="minorHAnsi" w:hAnsiTheme="minorHAnsi" w:cstheme="minorHAnsi"/>
          <w:sz w:val="22"/>
          <w:szCs w:val="22"/>
        </w:rPr>
        <w:t xml:space="preserve">, edad </w:t>
      </w:r>
      <w:proofErr w:type="spellStart"/>
      <w:r w:rsidR="00AA1214" w:rsidRPr="00AA1214">
        <w:rPr>
          <w:rFonts w:asciiTheme="minorHAnsi" w:hAnsiTheme="minorHAnsi" w:cstheme="minorHAnsi"/>
          <w:sz w:val="22"/>
          <w:szCs w:val="22"/>
        </w:rPr>
        <w:t>credo,opinión</w:t>
      </w:r>
      <w:proofErr w:type="spellEnd"/>
      <w:r w:rsidR="00AA1214" w:rsidRPr="00AA1214">
        <w:rPr>
          <w:rFonts w:asciiTheme="minorHAnsi" w:hAnsiTheme="minorHAnsi" w:cstheme="minorHAnsi"/>
          <w:sz w:val="22"/>
          <w:szCs w:val="22"/>
        </w:rPr>
        <w:t xml:space="preserve"> política o sindical, ideológica, posición económica o cualquier otra condición social o familiar, en conformidad de la disposiciones legales vigentes. Los estados partes se comprometen a garantizar la vigencia de este principio de no discriminación. En particular se comprometen a realizar acciones destinadas a la eliminación la discriminación en lo que refiere a los grupos en situación de desventajosa en el mercado de trabajo”. </w:t>
      </w:r>
    </w:p>
    <w:p w14:paraId="0F13D3AB"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74CC2D4C" w14:textId="77777777" w:rsidR="005324CD" w:rsidRDefault="005324CD" w:rsidP="00AA1214">
      <w:pPr>
        <w:pStyle w:val="NormalWeb"/>
        <w:spacing w:before="168" w:beforeAutospacing="0" w:after="0" w:afterAutospacing="0"/>
        <w:ind w:right="245"/>
        <w:jc w:val="both"/>
        <w:rPr>
          <w:rFonts w:asciiTheme="minorHAnsi" w:hAnsiTheme="minorHAnsi" w:cstheme="minorHAnsi"/>
          <w:sz w:val="22"/>
          <w:szCs w:val="22"/>
        </w:rPr>
      </w:pPr>
    </w:p>
    <w:p w14:paraId="06AC059D"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10601E3F"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527511EE" w14:textId="44A4A5EC" w:rsidR="0057765D" w:rsidRDefault="005324CD" w:rsidP="005324CD">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C31E8D">
        <w:rPr>
          <w:rFonts w:asciiTheme="minorHAnsi" w:hAnsiTheme="minorHAnsi" w:cstheme="minorHAnsi"/>
          <w:sz w:val="22"/>
          <w:szCs w:val="22"/>
        </w:rPr>
        <w:t>7039</w:t>
      </w:r>
      <w:r>
        <w:rPr>
          <w:rFonts w:asciiTheme="minorHAnsi" w:hAnsiTheme="minorHAnsi" w:cstheme="minorHAnsi"/>
          <w:sz w:val="22"/>
          <w:szCs w:val="22"/>
        </w:rPr>
        <w:t>/2020</w:t>
      </w:r>
    </w:p>
    <w:p w14:paraId="3455219B" w14:textId="62428600" w:rsidR="005324CD" w:rsidRDefault="005324CD" w:rsidP="005324CD">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2</w:t>
      </w:r>
    </w:p>
    <w:p w14:paraId="79ADA201" w14:textId="0A54DDC3" w:rsidR="0057765D" w:rsidRDefault="005324C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 xml:space="preserve">Que </w:t>
      </w:r>
      <w:r w:rsidR="00AA1214" w:rsidRPr="00AA1214">
        <w:rPr>
          <w:rFonts w:asciiTheme="minorHAnsi" w:hAnsiTheme="minorHAnsi" w:cstheme="minorHAnsi"/>
          <w:sz w:val="22"/>
          <w:szCs w:val="22"/>
        </w:rPr>
        <w:t xml:space="preserve"> en el año 2015, el estudio Orgullo en el Trabajo (</w:t>
      </w:r>
      <w:proofErr w:type="spellStart"/>
      <w:r w:rsidR="00AA1214" w:rsidRPr="00AA1214">
        <w:rPr>
          <w:rFonts w:asciiTheme="minorHAnsi" w:hAnsiTheme="minorHAnsi" w:cstheme="minorHAnsi"/>
          <w:sz w:val="22"/>
          <w:szCs w:val="22"/>
        </w:rPr>
        <w:t>Pride</w:t>
      </w:r>
      <w:proofErr w:type="spellEnd"/>
      <w:r w:rsidR="00AA1214" w:rsidRPr="00AA1214">
        <w:rPr>
          <w:rFonts w:asciiTheme="minorHAnsi" w:hAnsiTheme="minorHAnsi" w:cstheme="minorHAnsi"/>
          <w:sz w:val="22"/>
          <w:szCs w:val="22"/>
        </w:rPr>
        <w:t xml:space="preserve"> at </w:t>
      </w:r>
      <w:proofErr w:type="spellStart"/>
      <w:r w:rsidR="00AA1214" w:rsidRPr="00AA1214">
        <w:rPr>
          <w:rFonts w:asciiTheme="minorHAnsi" w:hAnsiTheme="minorHAnsi" w:cstheme="minorHAnsi"/>
          <w:sz w:val="22"/>
          <w:szCs w:val="22"/>
        </w:rPr>
        <w:t>Work</w:t>
      </w:r>
      <w:proofErr w:type="spellEnd"/>
      <w:r w:rsidR="00AA1214" w:rsidRPr="00AA1214">
        <w:rPr>
          <w:rFonts w:asciiTheme="minorHAnsi" w:hAnsiTheme="minorHAnsi" w:cstheme="minorHAnsi"/>
          <w:sz w:val="22"/>
          <w:szCs w:val="22"/>
        </w:rPr>
        <w:t xml:space="preserve">) de la Organización Internacional del Trabajo (OIT) reveló que más del 90% de la población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está excluida del mercado formal de trabajo. De todas las personas LGBT consultada, fueron las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quienes reportaron la mayor inestabilidad laboral; además señalaron que el Estado les ofrece contrato de muy poca estabilidad y que se las visibilizan en el ámbito laboral, sea público o privado. Por su parte la Red Latinoamericana y del Caribe de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(REDLACTRANS) informó que “los promedios de esperanza de vida según los datos que poseen algunas referentes arrojan un mínimo de 35 y un máximo de 41 años. Mientras tanto la esperanza de vida en Latinoamérica en términos generales ronda los 75 años “. En palabras del Instituto Nacional Contra la Discriminación, Xenofobia y el Racismo (INADI) “La discriminación y marginación se potencian cuando las personas con diversa orientación sexual o identidad de género son, además, pobres, portadoras de alguna enfermedad estigmatizada, miembro de grupos migrantes o pueblos indígenas y/o adscriben a posiciones políticas críticas. Este es el caso de las mujeres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en la Argentina, quienes – </w:t>
      </w:r>
      <w:r w:rsidR="0057765D">
        <w:rPr>
          <w:rFonts w:asciiTheme="minorHAnsi" w:hAnsiTheme="minorHAnsi" w:cstheme="minorHAnsi"/>
          <w:sz w:val="22"/>
          <w:szCs w:val="22"/>
        </w:rPr>
        <w:t xml:space="preserve">al cerrarles toda otra opción - </w:t>
      </w:r>
      <w:r w:rsidR="00AA1214" w:rsidRPr="00AA1214">
        <w:rPr>
          <w:rFonts w:asciiTheme="minorHAnsi" w:hAnsiTheme="minorHAnsi" w:cstheme="minorHAnsi"/>
          <w:sz w:val="22"/>
          <w:szCs w:val="22"/>
        </w:rPr>
        <w:t xml:space="preserve">han convertido a la prostitución en su única salida laboral, aumentando la discriminación y la marginación”. </w:t>
      </w:r>
    </w:p>
    <w:p w14:paraId="771A0930"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Que debido a estas prácticas de discriminación, persecución, exclusión y marginación, la comunidad travesti, transexual y </w:t>
      </w:r>
      <w:proofErr w:type="spellStart"/>
      <w:r w:rsidRPr="00AA1214">
        <w:rPr>
          <w:rFonts w:asciiTheme="minorHAnsi" w:hAnsiTheme="minorHAnsi" w:cstheme="minorHAnsi"/>
          <w:sz w:val="22"/>
          <w:szCs w:val="22"/>
        </w:rPr>
        <w:t>transgénero</w:t>
      </w:r>
      <w:proofErr w:type="spellEnd"/>
      <w:r w:rsidRPr="00AA1214">
        <w:rPr>
          <w:rFonts w:asciiTheme="minorHAnsi" w:hAnsiTheme="minorHAnsi" w:cstheme="minorHAnsi"/>
          <w:sz w:val="22"/>
          <w:szCs w:val="22"/>
        </w:rPr>
        <w:t xml:space="preserve"> no ha tenido y no tiene acceso a la igualdad de oportunidades ni trato tal es así, que la mayoría de las personas de este colectivo, en situaciones de extrema pobreza, privados de derechos políticos, económicos, sociales y culturales como consecuencia la expulsión de sus hogares, el sistema educativo y los circuitos laborales. </w:t>
      </w:r>
    </w:p>
    <w:p w14:paraId="61BBE33C"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Que</w:t>
      </w:r>
      <w:r w:rsidR="0057765D">
        <w:rPr>
          <w:rFonts w:asciiTheme="minorHAnsi" w:hAnsiTheme="minorHAnsi" w:cstheme="minorHAnsi"/>
          <w:sz w:val="22"/>
          <w:szCs w:val="22"/>
        </w:rPr>
        <w:t xml:space="preserve"> </w:t>
      </w:r>
      <w:r w:rsidRPr="00AA1214">
        <w:rPr>
          <w:rFonts w:asciiTheme="minorHAnsi" w:hAnsiTheme="minorHAnsi" w:cstheme="minorHAnsi"/>
          <w:sz w:val="22"/>
          <w:szCs w:val="22"/>
        </w:rPr>
        <w:t xml:space="preserve"> en Argentina se aprobó el 9 de mayo de 2012 la Ley 26.743 de Identidad de Género, la cual en su Artículo Nº</w:t>
      </w:r>
      <w:r w:rsidR="0057765D">
        <w:rPr>
          <w:rFonts w:asciiTheme="minorHAnsi" w:hAnsiTheme="minorHAnsi" w:cstheme="minorHAnsi"/>
          <w:sz w:val="22"/>
          <w:szCs w:val="22"/>
        </w:rPr>
        <w:t xml:space="preserve"> </w:t>
      </w:r>
      <w:r w:rsidRPr="00AA1214">
        <w:rPr>
          <w:rFonts w:asciiTheme="minorHAnsi" w:hAnsiTheme="minorHAnsi" w:cstheme="minorHAnsi"/>
          <w:sz w:val="22"/>
          <w:szCs w:val="22"/>
        </w:rPr>
        <w:t xml:space="preserve">1 dice: “Toda persona tiene derecho: a) Al reconocimiento de su identidad de género; b) Al libre desarrollo de su persona conforme a su identidad de género; c) A ser tratada de acuerdo a su identidad de género y, en particular, a ser identificada de ese modo en los instrumentos que acrediten su identidad respeto a él/los nombre/s de pila, imagen y sexo con los que allí es registrada”. </w:t>
      </w:r>
    </w:p>
    <w:p w14:paraId="27C7F132"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la Ley N° 27.345 prorrogó hasta el 31 de diciembre de 2019 la emergencia social en los términos de la Ley N° 27.200. Dicha norma había extendido los efectos de diversa normativa orientada a que el accionar del Estado Nacional pueda intervenir para revertir los efectos negativos que las sucesivas crisis económico-sociales han causado sobre la situación del empleo, la pobreza y los ingresos de las familias de nuestro país. </w:t>
      </w:r>
    </w:p>
    <w:p w14:paraId="539675AE"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Que</w:t>
      </w:r>
      <w:r w:rsidR="0057765D">
        <w:rPr>
          <w:rFonts w:asciiTheme="minorHAnsi" w:hAnsiTheme="minorHAnsi" w:cstheme="minorHAnsi"/>
          <w:sz w:val="22"/>
          <w:szCs w:val="22"/>
        </w:rPr>
        <w:t xml:space="preserve"> </w:t>
      </w:r>
      <w:r w:rsidRPr="00AA1214">
        <w:rPr>
          <w:rFonts w:asciiTheme="minorHAnsi" w:hAnsiTheme="minorHAnsi" w:cstheme="minorHAnsi"/>
          <w:sz w:val="22"/>
          <w:szCs w:val="22"/>
        </w:rPr>
        <w:t xml:space="preserve"> el artículo 3º de la Ley Nº 24.013 y sus modificatorias establece como comprensivas de la política de empleo, entre otras las acciones de servicios de empleo, de promoción y defensa del empleo, de protección a trabajadores desempleados, de formación y orientación profesional para el empleo. </w:t>
      </w:r>
    </w:p>
    <w:p w14:paraId="20E5F003"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Que</w:t>
      </w:r>
      <w:r w:rsidR="00AA1214" w:rsidRPr="00AA1214">
        <w:rPr>
          <w:rFonts w:asciiTheme="minorHAnsi" w:hAnsiTheme="minorHAnsi" w:cstheme="minorHAnsi"/>
          <w:sz w:val="22"/>
          <w:szCs w:val="22"/>
        </w:rPr>
        <w:t xml:space="preserve"> actualmente la Dirección de Educación y Gestión de Empleo asesora y promueve la inserción laboral del colectivo de diversidad de género. Dirigido a personas travestis, transexuales y </w:t>
      </w:r>
      <w:proofErr w:type="spellStart"/>
      <w:r w:rsidR="00AA1214" w:rsidRPr="00AA1214">
        <w:rPr>
          <w:rFonts w:asciiTheme="minorHAnsi" w:hAnsiTheme="minorHAnsi" w:cstheme="minorHAnsi"/>
          <w:sz w:val="22"/>
          <w:szCs w:val="22"/>
        </w:rPr>
        <w:t>transgéneros</w:t>
      </w:r>
      <w:proofErr w:type="spellEnd"/>
      <w:r w:rsidR="00AA1214" w:rsidRPr="00AA1214">
        <w:rPr>
          <w:rFonts w:asciiTheme="minorHAnsi" w:hAnsiTheme="minorHAnsi" w:cstheme="minorHAnsi"/>
          <w:sz w:val="22"/>
          <w:szCs w:val="22"/>
        </w:rPr>
        <w:t xml:space="preserve"> desocupados/as que deseen mejorar su nivel de empleabilidad, finalizar sus estudios o participar de acciones de inclusión laboral, recibiendo un incentivo económico como contraprestación. </w:t>
      </w:r>
    </w:p>
    <w:p w14:paraId="0AD64A15" w14:textId="77777777" w:rsidR="0057765D" w:rsidRDefault="0057765D" w:rsidP="00AA1214">
      <w:pPr>
        <w:pStyle w:val="NormalWeb"/>
        <w:spacing w:before="168" w:beforeAutospacing="0" w:after="0" w:afterAutospacing="0"/>
        <w:ind w:right="245"/>
        <w:jc w:val="both"/>
        <w:rPr>
          <w:rFonts w:asciiTheme="minorHAnsi" w:hAnsiTheme="minorHAnsi" w:cstheme="minorHAnsi"/>
          <w:sz w:val="22"/>
          <w:szCs w:val="22"/>
        </w:rPr>
      </w:pPr>
    </w:p>
    <w:p w14:paraId="04B1E85C" w14:textId="77777777" w:rsidR="005324CD" w:rsidRDefault="005324CD" w:rsidP="005324CD">
      <w:pPr>
        <w:pStyle w:val="NormalWeb"/>
        <w:spacing w:before="168" w:beforeAutospacing="0" w:after="0" w:afterAutospacing="0"/>
        <w:ind w:right="245"/>
        <w:jc w:val="right"/>
        <w:rPr>
          <w:rFonts w:asciiTheme="minorHAnsi" w:hAnsiTheme="minorHAnsi" w:cstheme="minorHAnsi"/>
          <w:sz w:val="22"/>
          <w:szCs w:val="22"/>
        </w:rPr>
      </w:pPr>
    </w:p>
    <w:p w14:paraId="57F2A3EF" w14:textId="7B7E2DE4" w:rsidR="005324CD" w:rsidRDefault="005324CD" w:rsidP="005324CD">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C31E8D">
        <w:rPr>
          <w:rFonts w:asciiTheme="minorHAnsi" w:hAnsiTheme="minorHAnsi" w:cstheme="minorHAnsi"/>
          <w:sz w:val="22"/>
          <w:szCs w:val="22"/>
        </w:rPr>
        <w:t>7039</w:t>
      </w:r>
      <w:r>
        <w:rPr>
          <w:rFonts w:asciiTheme="minorHAnsi" w:hAnsiTheme="minorHAnsi" w:cstheme="minorHAnsi"/>
          <w:sz w:val="22"/>
          <w:szCs w:val="22"/>
        </w:rPr>
        <w:t>/2020</w:t>
      </w:r>
    </w:p>
    <w:p w14:paraId="1287F440" w14:textId="531F93FF" w:rsidR="005324CD" w:rsidRDefault="005324CD" w:rsidP="005324CD">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3</w:t>
      </w:r>
    </w:p>
    <w:p w14:paraId="626C970F" w14:textId="77777777" w:rsidR="0057765D"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Que a través del Departamento Mujer y Diversidad de la Municipalidad de Godoy Cruz se llevan adelante acciones relacionadas con la promoción de los derechos de las personas que integran el colectivo LGTBIQ+, como charlas y capacitaciones en distintas instituciones y con la entrega e implementación de subsidios para los integrantes del colectivo. Dentro de esta línea de trabajo, el Refugio Municipal “Mujeres en Acción” les ha dado albergue a personas con diversidad sexual. </w:t>
      </w:r>
    </w:p>
    <w:p w14:paraId="494C8973" w14:textId="77777777" w:rsidR="0057765D" w:rsidRPr="0057765D" w:rsidRDefault="00AA1214" w:rsidP="00AA1214">
      <w:pPr>
        <w:pStyle w:val="NormalWeb"/>
        <w:spacing w:before="168" w:beforeAutospacing="0" w:after="0" w:afterAutospacing="0"/>
        <w:ind w:right="245"/>
        <w:jc w:val="both"/>
        <w:rPr>
          <w:rFonts w:asciiTheme="minorHAnsi" w:hAnsiTheme="minorHAnsi" w:cstheme="minorHAnsi"/>
          <w:b/>
          <w:sz w:val="22"/>
          <w:szCs w:val="22"/>
          <w:u w:val="single"/>
        </w:rPr>
      </w:pPr>
      <w:r w:rsidRPr="0057765D">
        <w:rPr>
          <w:rFonts w:asciiTheme="minorHAnsi" w:hAnsiTheme="minorHAnsi" w:cstheme="minorHAnsi"/>
          <w:b/>
          <w:sz w:val="22"/>
          <w:szCs w:val="22"/>
          <w:u w:val="single"/>
        </w:rPr>
        <w:t>POR ELLO</w:t>
      </w:r>
      <w:r w:rsidR="0057765D" w:rsidRPr="0057765D">
        <w:rPr>
          <w:rFonts w:asciiTheme="minorHAnsi" w:hAnsiTheme="minorHAnsi" w:cstheme="minorHAnsi"/>
          <w:b/>
          <w:sz w:val="22"/>
          <w:szCs w:val="22"/>
          <w:u w:val="single"/>
        </w:rPr>
        <w:t>:</w:t>
      </w:r>
    </w:p>
    <w:p w14:paraId="33CE15A7" w14:textId="58F2C971" w:rsidR="0057765D" w:rsidRPr="0057765D" w:rsidRDefault="0057765D" w:rsidP="0057765D">
      <w:pPr>
        <w:pStyle w:val="NormalWeb"/>
        <w:spacing w:before="168" w:beforeAutospacing="0" w:after="0" w:afterAutospacing="0"/>
        <w:ind w:right="245"/>
        <w:jc w:val="center"/>
        <w:rPr>
          <w:rFonts w:asciiTheme="minorHAnsi" w:hAnsiTheme="minorHAnsi" w:cstheme="minorHAnsi"/>
          <w:b/>
          <w:sz w:val="22"/>
          <w:szCs w:val="22"/>
        </w:rPr>
      </w:pPr>
      <w:r w:rsidRPr="0057765D">
        <w:rPr>
          <w:rFonts w:asciiTheme="minorHAnsi" w:hAnsiTheme="minorHAnsi" w:cstheme="minorHAnsi"/>
          <w:b/>
          <w:sz w:val="22"/>
          <w:szCs w:val="22"/>
        </w:rPr>
        <w:t>EL HONORABLE CONCEJO DELIBERANTE DE GODOY CRUZ:</w:t>
      </w:r>
    </w:p>
    <w:p w14:paraId="15AE5BAD" w14:textId="7526E26B" w:rsidR="0057765D" w:rsidRPr="0057765D" w:rsidRDefault="0057765D" w:rsidP="0057765D">
      <w:pPr>
        <w:pStyle w:val="NormalWeb"/>
        <w:spacing w:before="168" w:beforeAutospacing="0" w:after="0" w:afterAutospacing="0"/>
        <w:ind w:right="245"/>
        <w:jc w:val="center"/>
        <w:rPr>
          <w:rFonts w:asciiTheme="minorHAnsi" w:hAnsiTheme="minorHAnsi" w:cstheme="minorHAnsi"/>
          <w:b/>
          <w:sz w:val="22"/>
          <w:szCs w:val="22"/>
          <w:u w:val="single"/>
        </w:rPr>
      </w:pPr>
      <w:r w:rsidRPr="0057765D">
        <w:rPr>
          <w:rFonts w:asciiTheme="minorHAnsi" w:hAnsiTheme="minorHAnsi" w:cstheme="minorHAnsi"/>
          <w:b/>
          <w:sz w:val="22"/>
          <w:szCs w:val="22"/>
          <w:u w:val="single"/>
        </w:rPr>
        <w:t>ORDENA</w:t>
      </w:r>
    </w:p>
    <w:p w14:paraId="608AB008"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1:</w:t>
      </w:r>
      <w:r w:rsidR="00AA1214" w:rsidRPr="00AA1214">
        <w:rPr>
          <w:rFonts w:asciiTheme="minorHAnsi" w:hAnsiTheme="minorHAnsi" w:cstheme="minorHAnsi"/>
          <w:sz w:val="22"/>
          <w:szCs w:val="22"/>
        </w:rPr>
        <w:t xml:space="preserve"> Instituyese la Política de Inclusión Laboral </w:t>
      </w:r>
      <w:r w:rsidR="0057765D">
        <w:rPr>
          <w:rFonts w:asciiTheme="minorHAnsi" w:hAnsiTheme="minorHAnsi" w:cstheme="minorHAnsi"/>
          <w:sz w:val="22"/>
          <w:szCs w:val="22"/>
        </w:rPr>
        <w:t>para</w:t>
      </w:r>
      <w:r w:rsidR="00AA1214" w:rsidRPr="00AA1214">
        <w:rPr>
          <w:rFonts w:asciiTheme="minorHAnsi" w:hAnsiTheme="minorHAnsi" w:cstheme="minorHAnsi"/>
          <w:sz w:val="22"/>
          <w:szCs w:val="22"/>
        </w:rPr>
        <w:t xml:space="preserve">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en el Departamento de Godoy Cruz propiciando la igualdad real de oportunidades en el acceso, permanencia y desarrollo en el ámbito público y privado laboral. </w:t>
      </w:r>
    </w:p>
    <w:p w14:paraId="48A26346"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2:</w:t>
      </w:r>
      <w:r>
        <w:rPr>
          <w:rFonts w:asciiTheme="minorHAnsi" w:hAnsiTheme="minorHAnsi" w:cstheme="minorHAnsi"/>
          <w:sz w:val="22"/>
          <w:szCs w:val="22"/>
        </w:rPr>
        <w:t xml:space="preserve"> </w:t>
      </w:r>
      <w:r w:rsidRPr="00AA1214">
        <w:rPr>
          <w:rFonts w:asciiTheme="minorHAnsi" w:hAnsiTheme="minorHAnsi" w:cstheme="minorHAnsi"/>
          <w:sz w:val="22"/>
          <w:szCs w:val="22"/>
        </w:rPr>
        <w:t>Son</w:t>
      </w:r>
      <w:r w:rsidR="00AA1214" w:rsidRPr="00AA1214">
        <w:rPr>
          <w:rFonts w:asciiTheme="minorHAnsi" w:hAnsiTheme="minorHAnsi" w:cstheme="minorHAnsi"/>
          <w:sz w:val="22"/>
          <w:szCs w:val="22"/>
        </w:rPr>
        <w:t xml:space="preserve"> sujetos beneficiados por la presente Ordenanza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con domicilio legal en el Departamento de Godoy Cruz. En ningún caso se podrá exigir más prueba que la manifestación del género auto percibido en lo</w:t>
      </w:r>
      <w:r>
        <w:rPr>
          <w:rFonts w:asciiTheme="minorHAnsi" w:hAnsiTheme="minorHAnsi" w:cstheme="minorHAnsi"/>
          <w:sz w:val="22"/>
          <w:szCs w:val="22"/>
        </w:rPr>
        <w:t>s términos de la Ley nacional N</w:t>
      </w:r>
      <w:r w:rsidR="00AA1214" w:rsidRPr="00AA1214">
        <w:rPr>
          <w:rFonts w:asciiTheme="minorHAnsi" w:hAnsiTheme="minorHAnsi" w:cstheme="minorHAnsi"/>
          <w:sz w:val="22"/>
          <w:szCs w:val="22"/>
        </w:rPr>
        <w:t xml:space="preserve">º 26743. </w:t>
      </w:r>
    </w:p>
    <w:p w14:paraId="06BE9ABA"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3:</w:t>
      </w:r>
      <w:r w:rsidR="00AA1214" w:rsidRPr="00AA1214">
        <w:rPr>
          <w:rFonts w:asciiTheme="minorHAnsi" w:hAnsiTheme="minorHAnsi" w:cstheme="minorHAnsi"/>
          <w:sz w:val="22"/>
          <w:szCs w:val="22"/>
        </w:rPr>
        <w:t xml:space="preserve"> A los efectos de la presente Ordenanza se comprenderá bajo el concepto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a toda persona travesti, transexual o </w:t>
      </w:r>
      <w:proofErr w:type="spellStart"/>
      <w:r w:rsidR="00AA1214" w:rsidRPr="00AA1214">
        <w:rPr>
          <w:rFonts w:asciiTheme="minorHAnsi" w:hAnsiTheme="minorHAnsi" w:cstheme="minorHAnsi"/>
          <w:sz w:val="22"/>
          <w:szCs w:val="22"/>
        </w:rPr>
        <w:t>transgénero</w:t>
      </w:r>
      <w:proofErr w:type="spellEnd"/>
      <w:r w:rsidR="00AA1214" w:rsidRPr="00AA1214">
        <w:rPr>
          <w:rFonts w:asciiTheme="minorHAnsi" w:hAnsiTheme="minorHAnsi" w:cstheme="minorHAnsi"/>
          <w:sz w:val="22"/>
          <w:szCs w:val="22"/>
        </w:rPr>
        <w:t xml:space="preserve">. </w:t>
      </w:r>
    </w:p>
    <w:p w14:paraId="5BF57A8D"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4:</w:t>
      </w:r>
      <w:r w:rsidR="00AA1214" w:rsidRPr="00AA1214">
        <w:rPr>
          <w:rFonts w:asciiTheme="minorHAnsi" w:hAnsiTheme="minorHAnsi" w:cstheme="minorHAnsi"/>
          <w:sz w:val="22"/>
          <w:szCs w:val="22"/>
        </w:rPr>
        <w:t xml:space="preserve"> Créase la “Mesa de Trabajo Intersectorial para la Promoción de Derechos de las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del Departamento de Godoy Cruz”.</w:t>
      </w:r>
    </w:p>
    <w:p w14:paraId="34C1E733"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5:</w:t>
      </w:r>
      <w:r w:rsidR="00AA1214" w:rsidRPr="00AA1214">
        <w:rPr>
          <w:rFonts w:asciiTheme="minorHAnsi" w:hAnsiTheme="minorHAnsi" w:cstheme="minorHAnsi"/>
          <w:sz w:val="22"/>
          <w:szCs w:val="22"/>
        </w:rPr>
        <w:t xml:space="preserve"> La Mesa de Trabajo Intersectorial tiene por objeto: </w:t>
      </w:r>
    </w:p>
    <w:p w14:paraId="6999C65A"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 Conocer, analizar y difundir información sobre la situación general de las personas </w:t>
      </w:r>
      <w:proofErr w:type="spellStart"/>
      <w:r w:rsidRPr="00AA1214">
        <w:rPr>
          <w:rFonts w:asciiTheme="minorHAnsi" w:hAnsiTheme="minorHAnsi" w:cstheme="minorHAnsi"/>
          <w:sz w:val="22"/>
          <w:szCs w:val="22"/>
        </w:rPr>
        <w:t>trans</w:t>
      </w:r>
      <w:proofErr w:type="spellEnd"/>
      <w:r w:rsidRPr="00AA1214">
        <w:rPr>
          <w:rFonts w:asciiTheme="minorHAnsi" w:hAnsiTheme="minorHAnsi" w:cstheme="minorHAnsi"/>
          <w:sz w:val="22"/>
          <w:szCs w:val="22"/>
        </w:rPr>
        <w:t xml:space="preserve">; </w:t>
      </w:r>
    </w:p>
    <w:p w14:paraId="0AED6494"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 Fomentar el conocimiento y el intercambio de experiencias con otras instituciones, locales, nacionales e internacionales en lo referido a políticas de acción; </w:t>
      </w:r>
    </w:p>
    <w:p w14:paraId="179E9A5A"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 Analizar el impacto de las políticas públicas para con la población de personas </w:t>
      </w:r>
      <w:proofErr w:type="spellStart"/>
      <w:r w:rsidRPr="00AA1214">
        <w:rPr>
          <w:rFonts w:asciiTheme="minorHAnsi" w:hAnsiTheme="minorHAnsi" w:cstheme="minorHAnsi"/>
          <w:sz w:val="22"/>
          <w:szCs w:val="22"/>
        </w:rPr>
        <w:t>trans</w:t>
      </w:r>
      <w:proofErr w:type="spellEnd"/>
      <w:r w:rsidRPr="00AA1214">
        <w:rPr>
          <w:rFonts w:asciiTheme="minorHAnsi" w:hAnsiTheme="minorHAnsi" w:cstheme="minorHAnsi"/>
          <w:sz w:val="22"/>
          <w:szCs w:val="22"/>
        </w:rPr>
        <w:t xml:space="preserve">; </w:t>
      </w:r>
    </w:p>
    <w:p w14:paraId="63879A45"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 Programar actividades para la promoción de derechos de las personas </w:t>
      </w:r>
      <w:proofErr w:type="spellStart"/>
      <w:r w:rsidRPr="00AA1214">
        <w:rPr>
          <w:rFonts w:asciiTheme="minorHAnsi" w:hAnsiTheme="minorHAnsi" w:cstheme="minorHAnsi"/>
          <w:sz w:val="22"/>
          <w:szCs w:val="22"/>
        </w:rPr>
        <w:t>trans</w:t>
      </w:r>
      <w:proofErr w:type="spellEnd"/>
      <w:r w:rsidRPr="00AA1214">
        <w:rPr>
          <w:rFonts w:asciiTheme="minorHAnsi" w:hAnsiTheme="minorHAnsi" w:cstheme="minorHAnsi"/>
          <w:sz w:val="22"/>
          <w:szCs w:val="22"/>
        </w:rPr>
        <w:t xml:space="preserve"> fomentando la igualdad de oportunidades, y la no discriminación; </w:t>
      </w:r>
    </w:p>
    <w:p w14:paraId="0F6C8759"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 Articular estrategias de capacitación y/o formación en función de las necesidades de la población objetivo. </w:t>
      </w:r>
    </w:p>
    <w:p w14:paraId="5D44B392"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6:</w:t>
      </w:r>
      <w:r w:rsidR="00AA1214" w:rsidRPr="00AA1214">
        <w:rPr>
          <w:rFonts w:asciiTheme="minorHAnsi" w:hAnsiTheme="minorHAnsi" w:cstheme="minorHAnsi"/>
          <w:sz w:val="22"/>
          <w:szCs w:val="22"/>
        </w:rPr>
        <w:t xml:space="preserve"> La Mesa de Trabajo Intersectorial estará integrada por, al menos, un (1) representante coordinador de la Dirección de Prevención, Participación Comunitaria y Derechos Humanos, un (1) representante de la Dirección de Salud, un (1) representante de la Dirección de Desarrollo Humano y Hábitat y, un (1) representante de la Dirección de Educación y Empleo. </w:t>
      </w:r>
    </w:p>
    <w:p w14:paraId="05AF08E5"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7:</w:t>
      </w:r>
      <w:r w:rsidR="00AA1214" w:rsidRPr="00AA1214">
        <w:rPr>
          <w:rFonts w:asciiTheme="minorHAnsi" w:hAnsiTheme="minorHAnsi" w:cstheme="minorHAnsi"/>
          <w:sz w:val="22"/>
          <w:szCs w:val="22"/>
        </w:rPr>
        <w:t xml:space="preserve"> Podrán ser partícipes de la Mesa de Trabajo Intersectorial organizaciones de la sociedad civil, universidades, y otras instituciones con las cuales el Departamento Ejecutivo firme convenios de cooperación para el alcance de los propósitos enunciados en el Art. 5. </w:t>
      </w:r>
    </w:p>
    <w:p w14:paraId="718DC149" w14:textId="77777777" w:rsidR="005324CD" w:rsidRDefault="005324CD" w:rsidP="00AA1214">
      <w:pPr>
        <w:pStyle w:val="NormalWeb"/>
        <w:spacing w:before="168" w:beforeAutospacing="0" w:after="0" w:afterAutospacing="0"/>
        <w:ind w:right="245"/>
        <w:jc w:val="both"/>
        <w:rPr>
          <w:rFonts w:asciiTheme="minorHAnsi" w:hAnsiTheme="minorHAnsi" w:cstheme="minorHAnsi"/>
          <w:sz w:val="22"/>
          <w:szCs w:val="22"/>
        </w:rPr>
      </w:pPr>
    </w:p>
    <w:p w14:paraId="1C50977F"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p>
    <w:p w14:paraId="7D7D882E" w14:textId="32B377E5" w:rsidR="005324CD" w:rsidRDefault="005324CD" w:rsidP="005324CD">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C31E8D">
        <w:rPr>
          <w:rFonts w:asciiTheme="minorHAnsi" w:hAnsiTheme="minorHAnsi" w:cstheme="minorHAnsi"/>
          <w:sz w:val="22"/>
          <w:szCs w:val="22"/>
        </w:rPr>
        <w:t>7039</w:t>
      </w:r>
      <w:r>
        <w:rPr>
          <w:rFonts w:asciiTheme="minorHAnsi" w:hAnsiTheme="minorHAnsi" w:cstheme="minorHAnsi"/>
          <w:sz w:val="22"/>
          <w:szCs w:val="22"/>
        </w:rPr>
        <w:t>/2020</w:t>
      </w:r>
    </w:p>
    <w:p w14:paraId="53DE5827" w14:textId="5F76F479" w:rsidR="005324CD" w:rsidRDefault="005324CD" w:rsidP="005324CD">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4</w:t>
      </w:r>
    </w:p>
    <w:p w14:paraId="3886F998"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sidRPr="00C65B62">
        <w:rPr>
          <w:rFonts w:asciiTheme="minorHAnsi" w:hAnsiTheme="minorHAnsi" w:cstheme="minorHAnsi"/>
          <w:b/>
          <w:sz w:val="22"/>
          <w:szCs w:val="22"/>
          <w:u w:val="single"/>
        </w:rPr>
        <w:t>ARTÍCULO 8:</w:t>
      </w:r>
      <w:r>
        <w:rPr>
          <w:rFonts w:asciiTheme="minorHAnsi" w:hAnsiTheme="minorHAnsi" w:cstheme="minorHAnsi"/>
          <w:sz w:val="22"/>
          <w:szCs w:val="22"/>
        </w:rPr>
        <w:t xml:space="preserve"> </w:t>
      </w:r>
      <w:r w:rsidRPr="00AA1214">
        <w:rPr>
          <w:rFonts w:asciiTheme="minorHAnsi" w:hAnsiTheme="minorHAnsi" w:cstheme="minorHAnsi"/>
          <w:sz w:val="22"/>
          <w:szCs w:val="22"/>
        </w:rPr>
        <w:t>Créase</w:t>
      </w:r>
      <w:r w:rsidR="00AA1214" w:rsidRPr="00AA1214">
        <w:rPr>
          <w:rFonts w:asciiTheme="minorHAnsi" w:hAnsiTheme="minorHAnsi" w:cstheme="minorHAnsi"/>
          <w:sz w:val="22"/>
          <w:szCs w:val="22"/>
        </w:rPr>
        <w:t xml:space="preserve"> el Registro Único de Aspirantes y Trabajadores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el cual contendrá la siguiente información de base: </w:t>
      </w:r>
    </w:p>
    <w:p w14:paraId="108CA56D"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a. Nombres y apellidos </w:t>
      </w:r>
    </w:p>
    <w:p w14:paraId="32CBE11A"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b. Documento Nacional de Identidad </w:t>
      </w:r>
    </w:p>
    <w:p w14:paraId="3147DEBF"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c. CUIL/CUIT </w:t>
      </w:r>
    </w:p>
    <w:p w14:paraId="01EE9713"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d. Domicilio real y legal </w:t>
      </w:r>
    </w:p>
    <w:p w14:paraId="138C2C91"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e. Antecedentes laborales y educativos (formales e informales); </w:t>
      </w:r>
    </w:p>
    <w:p w14:paraId="3F83E889" w14:textId="77777777" w:rsidR="00C65B62" w:rsidRDefault="00AA1214"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 xml:space="preserve">f. Vías de contacto. </w:t>
      </w:r>
    </w:p>
    <w:p w14:paraId="6638F702"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r>
        <w:rPr>
          <w:rFonts w:asciiTheme="minorHAnsi" w:hAnsiTheme="minorHAnsi" w:cstheme="minorHAnsi"/>
          <w:sz w:val="22"/>
          <w:szCs w:val="22"/>
        </w:rPr>
        <w:t>ARTÍCULO 9:</w:t>
      </w:r>
      <w:r w:rsidR="00AA1214" w:rsidRPr="00AA1214">
        <w:rPr>
          <w:rFonts w:asciiTheme="minorHAnsi" w:hAnsiTheme="minorHAnsi" w:cstheme="minorHAnsi"/>
          <w:sz w:val="22"/>
          <w:szCs w:val="22"/>
        </w:rPr>
        <w:t xml:space="preserve"> Los establecimientos privados radicados en el Departamento que ya cuenten con personas empleadas y/o empleen a personas inscriptas en Registro Único de Aspirantes y Trabajadores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podrán solicitar una exención parcial de la tasa correspondiente a la habilitación de comercio, industria o empresa de servicio según la siguiente tabla: </w:t>
      </w:r>
    </w:p>
    <w:p w14:paraId="0009422B"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881"/>
        <w:gridCol w:w="2881"/>
        <w:gridCol w:w="2882"/>
      </w:tblGrid>
      <w:tr w:rsidR="008D0280" w14:paraId="7E781451" w14:textId="77777777" w:rsidTr="008D0280">
        <w:tc>
          <w:tcPr>
            <w:tcW w:w="2881" w:type="dxa"/>
          </w:tcPr>
          <w:p w14:paraId="75BC355E" w14:textId="11EE9DE6" w:rsidR="008D0280" w:rsidRPr="008D0280" w:rsidRDefault="008D0280" w:rsidP="008D0280">
            <w:pPr>
              <w:pStyle w:val="NormalWeb"/>
              <w:spacing w:before="168" w:beforeAutospacing="0" w:after="0" w:afterAutospacing="0"/>
              <w:ind w:right="245"/>
              <w:jc w:val="center"/>
              <w:rPr>
                <w:rFonts w:asciiTheme="minorHAnsi" w:hAnsiTheme="minorHAnsi" w:cstheme="minorHAnsi"/>
                <w:b/>
                <w:sz w:val="22"/>
                <w:szCs w:val="22"/>
              </w:rPr>
            </w:pPr>
            <w:r w:rsidRPr="008D0280">
              <w:rPr>
                <w:rFonts w:asciiTheme="minorHAnsi" w:hAnsiTheme="minorHAnsi" w:cstheme="minorHAnsi"/>
                <w:b/>
                <w:sz w:val="22"/>
                <w:szCs w:val="22"/>
              </w:rPr>
              <w:t xml:space="preserve">Cantidad de personas </w:t>
            </w:r>
            <w:proofErr w:type="spellStart"/>
            <w:r w:rsidRPr="008D0280">
              <w:rPr>
                <w:rFonts w:asciiTheme="minorHAnsi" w:hAnsiTheme="minorHAnsi" w:cstheme="minorHAnsi"/>
                <w:b/>
                <w:sz w:val="22"/>
                <w:szCs w:val="22"/>
              </w:rPr>
              <w:t>trans</w:t>
            </w:r>
            <w:proofErr w:type="spellEnd"/>
            <w:r w:rsidRPr="008D0280">
              <w:rPr>
                <w:rFonts w:asciiTheme="minorHAnsi" w:hAnsiTheme="minorHAnsi" w:cstheme="minorHAnsi"/>
                <w:b/>
                <w:sz w:val="22"/>
                <w:szCs w:val="22"/>
              </w:rPr>
              <w:t xml:space="preserve"> empleadas</w:t>
            </w:r>
          </w:p>
        </w:tc>
        <w:tc>
          <w:tcPr>
            <w:tcW w:w="2881" w:type="dxa"/>
          </w:tcPr>
          <w:p w14:paraId="50584AFD" w14:textId="3DD2863F" w:rsidR="008D0280" w:rsidRPr="008D0280" w:rsidRDefault="008D0280" w:rsidP="008D0280">
            <w:pPr>
              <w:pStyle w:val="NormalWeb"/>
              <w:spacing w:before="168" w:beforeAutospacing="0" w:after="0" w:afterAutospacing="0"/>
              <w:ind w:right="245"/>
              <w:jc w:val="center"/>
              <w:rPr>
                <w:rFonts w:asciiTheme="minorHAnsi" w:hAnsiTheme="minorHAnsi" w:cstheme="minorHAnsi"/>
                <w:b/>
                <w:sz w:val="22"/>
                <w:szCs w:val="22"/>
              </w:rPr>
            </w:pPr>
            <w:r w:rsidRPr="008D0280">
              <w:rPr>
                <w:rFonts w:asciiTheme="minorHAnsi" w:hAnsiTheme="minorHAnsi" w:cstheme="minorHAnsi"/>
                <w:b/>
                <w:sz w:val="22"/>
                <w:szCs w:val="22"/>
              </w:rPr>
              <w:t>Periodo de tiempo empleada</w:t>
            </w:r>
          </w:p>
        </w:tc>
        <w:tc>
          <w:tcPr>
            <w:tcW w:w="2882" w:type="dxa"/>
          </w:tcPr>
          <w:p w14:paraId="66419EDB" w14:textId="0194879B" w:rsidR="008D0280" w:rsidRPr="008D0280" w:rsidRDefault="008D0280" w:rsidP="00AA1214">
            <w:pPr>
              <w:pStyle w:val="NormalWeb"/>
              <w:spacing w:before="168" w:beforeAutospacing="0" w:after="0" w:afterAutospacing="0"/>
              <w:ind w:right="245"/>
              <w:jc w:val="both"/>
              <w:rPr>
                <w:rFonts w:asciiTheme="minorHAnsi" w:hAnsiTheme="minorHAnsi" w:cstheme="minorHAnsi"/>
                <w:b/>
                <w:sz w:val="22"/>
                <w:szCs w:val="22"/>
              </w:rPr>
            </w:pPr>
            <w:r w:rsidRPr="008D0280">
              <w:rPr>
                <w:rFonts w:asciiTheme="minorHAnsi" w:hAnsiTheme="minorHAnsi" w:cstheme="minorHAnsi"/>
                <w:b/>
                <w:sz w:val="22"/>
                <w:szCs w:val="22"/>
              </w:rPr>
              <w:t>Exención impositiva sobre el total de la tasa de habilitación de comercio, industria o empresa de servicio a pagar</w:t>
            </w:r>
          </w:p>
        </w:tc>
      </w:tr>
      <w:tr w:rsidR="008D0280" w14:paraId="0FE1C642" w14:textId="77777777" w:rsidTr="008D0280">
        <w:trPr>
          <w:trHeight w:val="555"/>
        </w:trPr>
        <w:tc>
          <w:tcPr>
            <w:tcW w:w="2881" w:type="dxa"/>
            <w:vMerge w:val="restart"/>
          </w:tcPr>
          <w:p w14:paraId="229F283D"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4ED7664E"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5FB062AE" w14:textId="777466DF"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De 1 a 3 personas</w:t>
            </w:r>
          </w:p>
        </w:tc>
        <w:tc>
          <w:tcPr>
            <w:tcW w:w="2881" w:type="dxa"/>
          </w:tcPr>
          <w:p w14:paraId="0CC6A5C6" w14:textId="05777DAB" w:rsidR="008D0280" w:rsidRDefault="008D0280" w:rsidP="00AA1214">
            <w:pPr>
              <w:pStyle w:val="NormalWeb"/>
              <w:spacing w:before="168" w:after="0"/>
              <w:ind w:right="245"/>
              <w:jc w:val="both"/>
              <w:rPr>
                <w:rFonts w:asciiTheme="minorHAnsi" w:hAnsiTheme="minorHAnsi" w:cstheme="minorHAnsi"/>
                <w:sz w:val="22"/>
                <w:szCs w:val="22"/>
              </w:rPr>
            </w:pPr>
            <w:r w:rsidRPr="00AA1214">
              <w:rPr>
                <w:rFonts w:asciiTheme="minorHAnsi" w:hAnsiTheme="minorHAnsi" w:cstheme="minorHAnsi"/>
                <w:sz w:val="22"/>
                <w:szCs w:val="22"/>
              </w:rPr>
              <w:t>De 4 a 6 meses corridos</w:t>
            </w:r>
          </w:p>
        </w:tc>
        <w:tc>
          <w:tcPr>
            <w:tcW w:w="2882" w:type="dxa"/>
          </w:tcPr>
          <w:p w14:paraId="3BD25A5F" w14:textId="43005638"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10% de exención impositiva</w:t>
            </w:r>
          </w:p>
        </w:tc>
      </w:tr>
      <w:tr w:rsidR="008D0280" w14:paraId="64C9C30D" w14:textId="77777777" w:rsidTr="008D0280">
        <w:trPr>
          <w:trHeight w:val="315"/>
        </w:trPr>
        <w:tc>
          <w:tcPr>
            <w:tcW w:w="2881" w:type="dxa"/>
            <w:vMerge/>
          </w:tcPr>
          <w:p w14:paraId="2D024632" w14:textId="77777777" w:rsidR="008D0280" w:rsidRPr="00AA1214" w:rsidRDefault="008D0280" w:rsidP="00AA1214">
            <w:pPr>
              <w:pStyle w:val="NormalWeb"/>
              <w:spacing w:before="168" w:beforeAutospacing="0" w:after="0" w:afterAutospacing="0"/>
              <w:ind w:right="245"/>
              <w:jc w:val="both"/>
              <w:rPr>
                <w:rFonts w:asciiTheme="minorHAnsi" w:hAnsiTheme="minorHAnsi" w:cstheme="minorHAnsi"/>
                <w:sz w:val="22"/>
                <w:szCs w:val="22"/>
              </w:rPr>
            </w:pPr>
          </w:p>
        </w:tc>
        <w:tc>
          <w:tcPr>
            <w:tcW w:w="2881" w:type="dxa"/>
          </w:tcPr>
          <w:p w14:paraId="4B4BB12C" w14:textId="09458886" w:rsidR="008D0280" w:rsidRPr="00AA1214" w:rsidRDefault="008D0280" w:rsidP="00AA1214">
            <w:pPr>
              <w:pStyle w:val="NormalWeb"/>
              <w:spacing w:before="168" w:after="0"/>
              <w:ind w:right="245"/>
              <w:jc w:val="both"/>
              <w:rPr>
                <w:rFonts w:asciiTheme="minorHAnsi" w:hAnsiTheme="minorHAnsi" w:cstheme="minorHAnsi"/>
                <w:sz w:val="22"/>
                <w:szCs w:val="22"/>
              </w:rPr>
            </w:pPr>
            <w:r w:rsidRPr="00AA1214">
              <w:rPr>
                <w:rFonts w:asciiTheme="minorHAnsi" w:hAnsiTheme="minorHAnsi" w:cstheme="minorHAnsi"/>
                <w:sz w:val="22"/>
                <w:szCs w:val="22"/>
              </w:rPr>
              <w:t>De 7 a 12 meses corridos</w:t>
            </w:r>
          </w:p>
        </w:tc>
        <w:tc>
          <w:tcPr>
            <w:tcW w:w="2882" w:type="dxa"/>
          </w:tcPr>
          <w:p w14:paraId="31D8C9FD" w14:textId="7E93FDED"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15% de exención impositiva</w:t>
            </w:r>
          </w:p>
        </w:tc>
      </w:tr>
      <w:tr w:rsidR="008D0280" w14:paraId="74921CA4" w14:textId="77777777" w:rsidTr="008D0280">
        <w:trPr>
          <w:trHeight w:val="107"/>
        </w:trPr>
        <w:tc>
          <w:tcPr>
            <w:tcW w:w="2881" w:type="dxa"/>
            <w:vMerge/>
          </w:tcPr>
          <w:p w14:paraId="3DD48304" w14:textId="77777777" w:rsidR="008D0280" w:rsidRPr="00AA1214" w:rsidRDefault="008D0280" w:rsidP="00AA1214">
            <w:pPr>
              <w:pStyle w:val="NormalWeb"/>
              <w:spacing w:before="168" w:beforeAutospacing="0" w:after="0" w:afterAutospacing="0"/>
              <w:ind w:right="245"/>
              <w:jc w:val="both"/>
              <w:rPr>
                <w:rFonts w:asciiTheme="minorHAnsi" w:hAnsiTheme="minorHAnsi" w:cstheme="minorHAnsi"/>
                <w:sz w:val="22"/>
                <w:szCs w:val="22"/>
              </w:rPr>
            </w:pPr>
          </w:p>
        </w:tc>
        <w:tc>
          <w:tcPr>
            <w:tcW w:w="2881" w:type="dxa"/>
          </w:tcPr>
          <w:p w14:paraId="1CB31815" w14:textId="3516F4E6" w:rsidR="008D0280" w:rsidRPr="00AA1214" w:rsidRDefault="008D0280" w:rsidP="00AA1214">
            <w:pPr>
              <w:pStyle w:val="NormalWeb"/>
              <w:spacing w:before="168" w:after="0"/>
              <w:ind w:right="245"/>
              <w:jc w:val="both"/>
              <w:rPr>
                <w:rFonts w:asciiTheme="minorHAnsi" w:hAnsiTheme="minorHAnsi" w:cstheme="minorHAnsi"/>
                <w:sz w:val="22"/>
                <w:szCs w:val="22"/>
              </w:rPr>
            </w:pPr>
            <w:r w:rsidRPr="00AA1214">
              <w:rPr>
                <w:rFonts w:asciiTheme="minorHAnsi" w:hAnsiTheme="minorHAnsi" w:cstheme="minorHAnsi"/>
                <w:sz w:val="22"/>
                <w:szCs w:val="22"/>
              </w:rPr>
              <w:t>De 13 meses corridos en adelante</w:t>
            </w:r>
          </w:p>
        </w:tc>
        <w:tc>
          <w:tcPr>
            <w:tcW w:w="2882" w:type="dxa"/>
          </w:tcPr>
          <w:p w14:paraId="1DAF9920" w14:textId="4F0297E2"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20% de exención impositiva</w:t>
            </w:r>
          </w:p>
        </w:tc>
      </w:tr>
      <w:tr w:rsidR="008D0280" w14:paraId="5DED87D7" w14:textId="77777777" w:rsidTr="008D0280">
        <w:trPr>
          <w:trHeight w:val="600"/>
        </w:trPr>
        <w:tc>
          <w:tcPr>
            <w:tcW w:w="2881" w:type="dxa"/>
            <w:vMerge w:val="restart"/>
          </w:tcPr>
          <w:p w14:paraId="387C9661"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1EA1CB20"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637F79FD" w14:textId="76BA2F3A"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4 o más personas</w:t>
            </w:r>
          </w:p>
        </w:tc>
        <w:tc>
          <w:tcPr>
            <w:tcW w:w="2881" w:type="dxa"/>
          </w:tcPr>
          <w:p w14:paraId="7E25DB71"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De 4 a 6 meses corridos</w:t>
            </w:r>
          </w:p>
          <w:p w14:paraId="2C77B89A" w14:textId="13069243"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tc>
        <w:tc>
          <w:tcPr>
            <w:tcW w:w="2882" w:type="dxa"/>
          </w:tcPr>
          <w:p w14:paraId="07F1AFAF" w14:textId="0B961700"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15% de exención impositiva</w:t>
            </w:r>
          </w:p>
        </w:tc>
      </w:tr>
      <w:tr w:rsidR="008D0280" w14:paraId="63E35949" w14:textId="77777777" w:rsidTr="008D0280">
        <w:trPr>
          <w:trHeight w:val="495"/>
        </w:trPr>
        <w:tc>
          <w:tcPr>
            <w:tcW w:w="2881" w:type="dxa"/>
            <w:vMerge/>
          </w:tcPr>
          <w:p w14:paraId="02AF0421" w14:textId="77777777" w:rsidR="008D0280" w:rsidRPr="00AA1214" w:rsidRDefault="008D0280" w:rsidP="00AA1214">
            <w:pPr>
              <w:pStyle w:val="NormalWeb"/>
              <w:spacing w:before="168" w:beforeAutospacing="0" w:after="0" w:afterAutospacing="0"/>
              <w:ind w:right="245"/>
              <w:jc w:val="both"/>
              <w:rPr>
                <w:rFonts w:asciiTheme="minorHAnsi" w:hAnsiTheme="minorHAnsi" w:cstheme="minorHAnsi"/>
                <w:sz w:val="22"/>
                <w:szCs w:val="22"/>
              </w:rPr>
            </w:pPr>
          </w:p>
        </w:tc>
        <w:tc>
          <w:tcPr>
            <w:tcW w:w="2881" w:type="dxa"/>
          </w:tcPr>
          <w:p w14:paraId="0F3E0A68" w14:textId="7F3C6CBD" w:rsidR="008D0280" w:rsidRPr="00AA1214" w:rsidRDefault="008D0280" w:rsidP="00AA1214">
            <w:pPr>
              <w:pStyle w:val="NormalWeb"/>
              <w:spacing w:before="168" w:after="0"/>
              <w:ind w:right="245"/>
              <w:jc w:val="both"/>
              <w:rPr>
                <w:rFonts w:asciiTheme="minorHAnsi" w:hAnsiTheme="minorHAnsi" w:cstheme="minorHAnsi"/>
                <w:sz w:val="22"/>
                <w:szCs w:val="22"/>
              </w:rPr>
            </w:pPr>
            <w:r w:rsidRPr="00AA1214">
              <w:rPr>
                <w:rFonts w:asciiTheme="minorHAnsi" w:hAnsiTheme="minorHAnsi" w:cstheme="minorHAnsi"/>
                <w:sz w:val="22"/>
                <w:szCs w:val="22"/>
              </w:rPr>
              <w:t>De 7 a 12 meses corridos</w:t>
            </w:r>
          </w:p>
        </w:tc>
        <w:tc>
          <w:tcPr>
            <w:tcW w:w="2882" w:type="dxa"/>
          </w:tcPr>
          <w:p w14:paraId="5A21F5E6" w14:textId="6E59C049"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20% de exención impositiva</w:t>
            </w:r>
          </w:p>
        </w:tc>
      </w:tr>
      <w:tr w:rsidR="008D0280" w14:paraId="62BAFB86" w14:textId="77777777" w:rsidTr="008D0280">
        <w:trPr>
          <w:trHeight w:val="307"/>
        </w:trPr>
        <w:tc>
          <w:tcPr>
            <w:tcW w:w="2881" w:type="dxa"/>
            <w:vMerge/>
          </w:tcPr>
          <w:p w14:paraId="44A46C84" w14:textId="77777777" w:rsidR="008D0280" w:rsidRPr="00AA1214" w:rsidRDefault="008D0280" w:rsidP="00AA1214">
            <w:pPr>
              <w:pStyle w:val="NormalWeb"/>
              <w:spacing w:before="168" w:beforeAutospacing="0" w:after="0" w:afterAutospacing="0"/>
              <w:ind w:right="245"/>
              <w:jc w:val="both"/>
              <w:rPr>
                <w:rFonts w:asciiTheme="minorHAnsi" w:hAnsiTheme="minorHAnsi" w:cstheme="minorHAnsi"/>
                <w:sz w:val="22"/>
                <w:szCs w:val="22"/>
              </w:rPr>
            </w:pPr>
          </w:p>
        </w:tc>
        <w:tc>
          <w:tcPr>
            <w:tcW w:w="2881" w:type="dxa"/>
          </w:tcPr>
          <w:p w14:paraId="72E3CB35" w14:textId="2C807D9C" w:rsidR="008D0280" w:rsidRPr="00AA1214" w:rsidRDefault="008D0280" w:rsidP="00AA1214">
            <w:pPr>
              <w:pStyle w:val="NormalWeb"/>
              <w:spacing w:before="168" w:after="0"/>
              <w:ind w:right="245"/>
              <w:jc w:val="both"/>
              <w:rPr>
                <w:rFonts w:asciiTheme="minorHAnsi" w:hAnsiTheme="minorHAnsi" w:cstheme="minorHAnsi"/>
                <w:sz w:val="22"/>
                <w:szCs w:val="22"/>
              </w:rPr>
            </w:pPr>
            <w:r w:rsidRPr="00AA1214">
              <w:rPr>
                <w:rFonts w:asciiTheme="minorHAnsi" w:hAnsiTheme="minorHAnsi" w:cstheme="minorHAnsi"/>
                <w:sz w:val="22"/>
                <w:szCs w:val="22"/>
              </w:rPr>
              <w:t>De 13 meses corridos en adelante</w:t>
            </w:r>
          </w:p>
        </w:tc>
        <w:tc>
          <w:tcPr>
            <w:tcW w:w="2882" w:type="dxa"/>
          </w:tcPr>
          <w:p w14:paraId="27F7A67E" w14:textId="64E7907E"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AA1214">
              <w:rPr>
                <w:rFonts w:asciiTheme="minorHAnsi" w:hAnsiTheme="minorHAnsi" w:cstheme="minorHAnsi"/>
                <w:sz w:val="22"/>
                <w:szCs w:val="22"/>
              </w:rPr>
              <w:t>25% de exención impositiva</w:t>
            </w:r>
          </w:p>
        </w:tc>
      </w:tr>
    </w:tbl>
    <w:p w14:paraId="7E3C0997" w14:textId="77777777" w:rsidR="00C65B62" w:rsidRDefault="00C65B62" w:rsidP="00AA1214">
      <w:pPr>
        <w:pStyle w:val="NormalWeb"/>
        <w:spacing w:before="168" w:beforeAutospacing="0" w:after="0" w:afterAutospacing="0"/>
        <w:ind w:right="245"/>
        <w:jc w:val="both"/>
        <w:rPr>
          <w:rFonts w:asciiTheme="minorHAnsi" w:hAnsiTheme="minorHAnsi" w:cstheme="minorHAnsi"/>
          <w:sz w:val="22"/>
          <w:szCs w:val="22"/>
        </w:rPr>
      </w:pPr>
    </w:p>
    <w:p w14:paraId="32DF9221"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8D0280">
        <w:rPr>
          <w:rFonts w:asciiTheme="minorHAnsi" w:hAnsiTheme="minorHAnsi" w:cstheme="minorHAnsi"/>
          <w:b/>
          <w:sz w:val="22"/>
          <w:szCs w:val="22"/>
          <w:u w:val="single"/>
        </w:rPr>
        <w:t>ARTÍCULO 10:</w:t>
      </w:r>
      <w:r>
        <w:rPr>
          <w:rFonts w:asciiTheme="minorHAnsi" w:hAnsiTheme="minorHAnsi" w:cstheme="minorHAnsi"/>
          <w:sz w:val="22"/>
          <w:szCs w:val="22"/>
        </w:rPr>
        <w:t xml:space="preserve"> </w:t>
      </w:r>
      <w:r w:rsidR="00AA1214" w:rsidRPr="00AA1214">
        <w:rPr>
          <w:rFonts w:asciiTheme="minorHAnsi" w:hAnsiTheme="minorHAnsi" w:cstheme="minorHAnsi"/>
          <w:sz w:val="22"/>
          <w:szCs w:val="22"/>
        </w:rPr>
        <w:t xml:space="preserve">Los establecimientos privados que accedan a los beneficios dispuestos por el Art. 9 deberán implementar un plan de integración a fines de evitar situaciones hostiles hacia las personas </w:t>
      </w:r>
      <w:proofErr w:type="spellStart"/>
      <w:r w:rsidR="00AA1214" w:rsidRPr="00AA1214">
        <w:rPr>
          <w:rFonts w:asciiTheme="minorHAnsi" w:hAnsiTheme="minorHAnsi" w:cstheme="minorHAnsi"/>
          <w:sz w:val="22"/>
          <w:szCs w:val="22"/>
        </w:rPr>
        <w:t>trans</w:t>
      </w:r>
      <w:proofErr w:type="spellEnd"/>
      <w:r w:rsidR="00AA1214" w:rsidRPr="00AA1214">
        <w:rPr>
          <w:rFonts w:asciiTheme="minorHAnsi" w:hAnsiTheme="minorHAnsi" w:cstheme="minorHAnsi"/>
          <w:sz w:val="22"/>
          <w:szCs w:val="22"/>
        </w:rPr>
        <w:t xml:space="preserve"> empleadas. Dicho plan deberá ponerse a consideración de la Mesa de Trabajo Intersectorial. </w:t>
      </w:r>
    </w:p>
    <w:p w14:paraId="02C87B50"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602F5F63"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p>
    <w:p w14:paraId="663D0CF8" w14:textId="2A0B4D9B" w:rsidR="005324CD" w:rsidRDefault="005324CD" w:rsidP="005324CD">
      <w:pPr>
        <w:pStyle w:val="NormalWeb"/>
        <w:spacing w:before="168"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C31E8D">
        <w:rPr>
          <w:rFonts w:asciiTheme="minorHAnsi" w:hAnsiTheme="minorHAnsi" w:cstheme="minorHAnsi"/>
          <w:sz w:val="22"/>
          <w:szCs w:val="22"/>
        </w:rPr>
        <w:t>7039</w:t>
      </w:r>
      <w:r>
        <w:rPr>
          <w:rFonts w:asciiTheme="minorHAnsi" w:hAnsiTheme="minorHAnsi" w:cstheme="minorHAnsi"/>
          <w:sz w:val="22"/>
          <w:szCs w:val="22"/>
        </w:rPr>
        <w:t>/2020</w:t>
      </w:r>
    </w:p>
    <w:p w14:paraId="146B4312" w14:textId="558657A7" w:rsidR="008D0280" w:rsidRDefault="00C31E8D" w:rsidP="005324CD">
      <w:pPr>
        <w:pStyle w:val="NormalWeb"/>
        <w:spacing w:before="0" w:beforeAutospacing="0" w:after="0" w:afterAutospacing="0"/>
        <w:ind w:right="245"/>
        <w:jc w:val="right"/>
        <w:rPr>
          <w:rFonts w:asciiTheme="minorHAnsi" w:hAnsiTheme="minorHAnsi" w:cstheme="minorHAnsi"/>
          <w:sz w:val="22"/>
          <w:szCs w:val="22"/>
        </w:rPr>
      </w:pPr>
      <w:r>
        <w:rPr>
          <w:rFonts w:asciiTheme="minorHAnsi" w:hAnsiTheme="minorHAnsi" w:cstheme="minorHAnsi"/>
          <w:sz w:val="22"/>
          <w:szCs w:val="22"/>
        </w:rPr>
        <w:t>HOJA N° 5</w:t>
      </w:r>
    </w:p>
    <w:p w14:paraId="4482159C"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8D0280">
        <w:rPr>
          <w:rFonts w:asciiTheme="minorHAnsi" w:hAnsiTheme="minorHAnsi" w:cstheme="minorHAnsi"/>
          <w:b/>
          <w:sz w:val="22"/>
          <w:szCs w:val="22"/>
          <w:u w:val="single"/>
        </w:rPr>
        <w:t>ARTÍCULO 11:</w:t>
      </w:r>
      <w:r w:rsidR="00AA1214" w:rsidRPr="00AA1214">
        <w:rPr>
          <w:rFonts w:asciiTheme="minorHAnsi" w:hAnsiTheme="minorHAnsi" w:cstheme="minorHAnsi"/>
          <w:sz w:val="22"/>
          <w:szCs w:val="22"/>
        </w:rPr>
        <w:t xml:space="preserve"> Invítese a los establecimientos privados adherentes a la presente política a acceder a los beneficios del Programa de Inserción Laboral (PIL) dispuesto por la Resolución 2186/2010 del Ministerio Empleo, Trabajo y Seguridad Social de la Nación como así también los beneficios propios de las Acciones de Entrenamiento para el Trabajo según Resolución 708/2010 del mismo Ministerio. </w:t>
      </w:r>
    </w:p>
    <w:p w14:paraId="508393BA" w14:textId="77777777" w:rsidR="008D0280" w:rsidRDefault="008D0280" w:rsidP="00AA1214">
      <w:pPr>
        <w:pStyle w:val="NormalWeb"/>
        <w:spacing w:before="168" w:beforeAutospacing="0" w:after="0" w:afterAutospacing="0"/>
        <w:ind w:right="245"/>
        <w:jc w:val="both"/>
        <w:rPr>
          <w:rFonts w:asciiTheme="minorHAnsi" w:hAnsiTheme="minorHAnsi" w:cstheme="minorHAnsi"/>
          <w:sz w:val="22"/>
          <w:szCs w:val="22"/>
        </w:rPr>
      </w:pPr>
      <w:r w:rsidRPr="008D0280">
        <w:rPr>
          <w:rFonts w:asciiTheme="minorHAnsi" w:hAnsiTheme="minorHAnsi" w:cstheme="minorHAnsi"/>
          <w:b/>
          <w:sz w:val="22"/>
          <w:szCs w:val="22"/>
          <w:u w:val="single"/>
        </w:rPr>
        <w:t>ARTÍCULO 12:</w:t>
      </w:r>
      <w:r>
        <w:rPr>
          <w:rFonts w:asciiTheme="minorHAnsi" w:hAnsiTheme="minorHAnsi" w:cstheme="minorHAnsi"/>
          <w:sz w:val="22"/>
          <w:szCs w:val="22"/>
        </w:rPr>
        <w:t xml:space="preserve"> </w:t>
      </w:r>
      <w:r w:rsidRPr="00AA1214">
        <w:rPr>
          <w:rFonts w:asciiTheme="minorHAnsi" w:hAnsiTheme="minorHAnsi" w:cstheme="minorHAnsi"/>
          <w:sz w:val="22"/>
          <w:szCs w:val="22"/>
        </w:rPr>
        <w:t>El</w:t>
      </w:r>
      <w:r w:rsidR="00AA1214" w:rsidRPr="00AA1214">
        <w:rPr>
          <w:rFonts w:asciiTheme="minorHAnsi" w:hAnsiTheme="minorHAnsi" w:cstheme="minorHAnsi"/>
          <w:sz w:val="22"/>
          <w:szCs w:val="22"/>
        </w:rPr>
        <w:t xml:space="preserve"> Poder Ejecutivo reglamentará las disposiciones de la presente ordenanza dentro de los noventa (90) días de su promul</w:t>
      </w:r>
      <w:r w:rsidR="00AA1214">
        <w:rPr>
          <w:rFonts w:asciiTheme="minorHAnsi" w:hAnsiTheme="minorHAnsi" w:cstheme="minorHAnsi"/>
          <w:sz w:val="22"/>
          <w:szCs w:val="22"/>
        </w:rPr>
        <w:t xml:space="preserve">gación. </w:t>
      </w:r>
    </w:p>
    <w:p w14:paraId="21752AC3" w14:textId="3B6D7CA9" w:rsidR="00BC6990" w:rsidRPr="00F872D2" w:rsidRDefault="008D0280" w:rsidP="008D0280">
      <w:pPr>
        <w:pStyle w:val="NormalWeb"/>
        <w:spacing w:before="168" w:beforeAutospacing="0" w:after="0" w:afterAutospacing="0"/>
        <w:ind w:right="245"/>
        <w:jc w:val="both"/>
        <w:rPr>
          <w:rFonts w:asciiTheme="minorHAnsi" w:hAnsiTheme="minorHAnsi" w:cstheme="minorHAnsi"/>
          <w:sz w:val="22"/>
          <w:szCs w:val="22"/>
        </w:rPr>
      </w:pPr>
      <w:r w:rsidRPr="008D0280">
        <w:rPr>
          <w:rFonts w:asciiTheme="minorHAnsi" w:hAnsiTheme="minorHAnsi" w:cstheme="minorHAnsi"/>
          <w:b/>
          <w:sz w:val="22"/>
          <w:szCs w:val="22"/>
          <w:u w:val="single"/>
        </w:rPr>
        <w:t>ARTÍCULO 13:</w:t>
      </w:r>
      <w:r>
        <w:rPr>
          <w:rFonts w:asciiTheme="minorHAnsi" w:hAnsiTheme="minorHAnsi" w:cstheme="minorHAnsi"/>
          <w:sz w:val="22"/>
          <w:szCs w:val="22"/>
        </w:rPr>
        <w:t xml:space="preserve"> </w:t>
      </w:r>
      <w:r w:rsidR="000B06FE" w:rsidRPr="00F872D2">
        <w:rPr>
          <w:rFonts w:asciiTheme="minorHAnsi" w:eastAsia="Calibri" w:hAnsiTheme="minorHAnsi" w:cstheme="minorHAnsi"/>
          <w:sz w:val="22"/>
          <w:szCs w:val="22"/>
        </w:rPr>
        <w:t xml:space="preserve">Comuníquese al Departamento Ejecutivo, </w:t>
      </w:r>
      <w:proofErr w:type="spellStart"/>
      <w:r w:rsidR="000B06FE" w:rsidRPr="00F872D2">
        <w:rPr>
          <w:rFonts w:asciiTheme="minorHAnsi" w:eastAsia="Calibri" w:hAnsiTheme="minorHAnsi" w:cstheme="minorHAnsi"/>
          <w:sz w:val="22"/>
          <w:szCs w:val="22"/>
        </w:rPr>
        <w:t>dése</w:t>
      </w:r>
      <w:proofErr w:type="spellEnd"/>
      <w:r w:rsidR="000B06FE" w:rsidRPr="00F872D2">
        <w:rPr>
          <w:rFonts w:asciiTheme="minorHAnsi" w:eastAsia="Calibri" w:hAnsiTheme="minorHAnsi" w:cstheme="minorHAnsi"/>
          <w:sz w:val="22"/>
          <w:szCs w:val="22"/>
        </w:rPr>
        <w:t xml:space="preserve"> al registro municipal </w:t>
      </w:r>
      <w:r w:rsidR="00BE7B08" w:rsidRPr="00F872D2">
        <w:rPr>
          <w:rFonts w:asciiTheme="minorHAnsi" w:eastAsia="Calibri" w:hAnsiTheme="minorHAnsi" w:cstheme="minorHAnsi"/>
          <w:sz w:val="22"/>
          <w:szCs w:val="22"/>
        </w:rPr>
        <w:t>respectivo, publíquese y cumplido archívese.</w:t>
      </w:r>
    </w:p>
    <w:p w14:paraId="26F63B6F" w14:textId="77777777" w:rsidR="0045574D" w:rsidRPr="00C27A3F" w:rsidRDefault="0045574D" w:rsidP="00BC6990">
      <w:pPr>
        <w:jc w:val="both"/>
        <w:rPr>
          <w:rFonts w:asciiTheme="minorHAnsi" w:hAnsiTheme="minorHAnsi" w:cstheme="minorHAnsi"/>
          <w:sz w:val="22"/>
          <w:szCs w:val="22"/>
        </w:rPr>
      </w:pPr>
    </w:p>
    <w:p w14:paraId="4F52CB78" w14:textId="3800330C" w:rsidR="0045574D" w:rsidRPr="00C27A3F" w:rsidRDefault="00C27A3F" w:rsidP="00BC6990">
      <w:pPr>
        <w:jc w:val="both"/>
        <w:rPr>
          <w:rFonts w:asciiTheme="minorHAnsi" w:hAnsiTheme="minorHAnsi" w:cstheme="minorHAnsi"/>
          <w:sz w:val="22"/>
          <w:szCs w:val="22"/>
        </w:rPr>
      </w:pPr>
      <w:r>
        <w:rPr>
          <w:rFonts w:asciiTheme="minorHAnsi" w:hAnsiTheme="minorHAnsi" w:cstheme="minorHAnsi"/>
          <w:sz w:val="22"/>
          <w:szCs w:val="22"/>
        </w:rPr>
        <w:t>p.m.</w:t>
      </w:r>
    </w:p>
    <w:p w14:paraId="365492A3" w14:textId="77777777" w:rsidR="0045574D" w:rsidRPr="00C27A3F" w:rsidRDefault="0045574D" w:rsidP="00BC6990">
      <w:pPr>
        <w:jc w:val="both"/>
        <w:rPr>
          <w:rFonts w:asciiTheme="minorHAnsi" w:hAnsiTheme="minorHAnsi" w:cstheme="minorHAnsi"/>
          <w:sz w:val="22"/>
          <w:szCs w:val="22"/>
        </w:rPr>
      </w:pPr>
    </w:p>
    <w:p w14:paraId="034B4268" w14:textId="5085B3F2" w:rsidR="004602E1" w:rsidRDefault="0045574D" w:rsidP="008C0BD2">
      <w:pPr>
        <w:jc w:val="both"/>
        <w:rPr>
          <w:rFonts w:asciiTheme="minorHAnsi" w:hAnsiTheme="minorHAnsi" w:cstheme="minorHAnsi"/>
          <w:b/>
          <w:bCs/>
          <w:sz w:val="22"/>
          <w:szCs w:val="22"/>
        </w:rPr>
      </w:pPr>
      <w:r w:rsidRPr="00C27A3F">
        <w:rPr>
          <w:rFonts w:asciiTheme="minorHAnsi" w:hAnsiTheme="minorHAnsi" w:cstheme="minorHAnsi"/>
          <w:b/>
          <w:bCs/>
          <w:sz w:val="22"/>
          <w:szCs w:val="22"/>
        </w:rPr>
        <w:t>DADA EN SALA DE SESIONES DEL HONORABLE CONCEJO DELIBERANTE DE GODOY CRUZ, EL</w:t>
      </w:r>
      <w:r w:rsidR="008C0BD2" w:rsidRPr="00C27A3F">
        <w:rPr>
          <w:rFonts w:asciiTheme="minorHAnsi" w:hAnsiTheme="minorHAnsi" w:cstheme="minorHAnsi"/>
          <w:b/>
          <w:bCs/>
          <w:sz w:val="22"/>
          <w:szCs w:val="22"/>
        </w:rPr>
        <w:t xml:space="preserve"> </w:t>
      </w:r>
      <w:r w:rsidRPr="00C27A3F">
        <w:rPr>
          <w:rFonts w:asciiTheme="minorHAnsi" w:hAnsiTheme="minorHAnsi" w:cstheme="minorHAnsi"/>
          <w:b/>
          <w:bCs/>
          <w:sz w:val="22"/>
          <w:szCs w:val="22"/>
        </w:rPr>
        <w:t xml:space="preserve">DÍA </w:t>
      </w:r>
      <w:r w:rsidR="005324CD">
        <w:rPr>
          <w:rFonts w:asciiTheme="minorHAnsi" w:hAnsiTheme="minorHAnsi" w:cstheme="minorHAnsi"/>
          <w:b/>
          <w:bCs/>
          <w:sz w:val="22"/>
          <w:szCs w:val="22"/>
        </w:rPr>
        <w:t>VEINTISIETE</w:t>
      </w:r>
      <w:r w:rsidRPr="00C27A3F">
        <w:rPr>
          <w:rFonts w:asciiTheme="minorHAnsi" w:hAnsiTheme="minorHAnsi" w:cstheme="minorHAnsi"/>
          <w:b/>
          <w:bCs/>
          <w:sz w:val="22"/>
          <w:szCs w:val="22"/>
        </w:rPr>
        <w:t xml:space="preserve"> DE </w:t>
      </w:r>
      <w:r w:rsidR="00A92018">
        <w:rPr>
          <w:rFonts w:asciiTheme="minorHAnsi" w:hAnsiTheme="minorHAnsi" w:cstheme="minorHAnsi"/>
          <w:b/>
          <w:bCs/>
          <w:sz w:val="22"/>
          <w:szCs w:val="22"/>
        </w:rPr>
        <w:t>JULI</w:t>
      </w:r>
      <w:r w:rsidR="00C27A3F">
        <w:rPr>
          <w:rFonts w:asciiTheme="minorHAnsi" w:hAnsiTheme="minorHAnsi" w:cstheme="minorHAnsi"/>
          <w:b/>
          <w:bCs/>
          <w:sz w:val="22"/>
          <w:szCs w:val="22"/>
        </w:rPr>
        <w:t>O</w:t>
      </w:r>
      <w:r w:rsidRPr="00C27A3F">
        <w:rPr>
          <w:rFonts w:asciiTheme="minorHAnsi" w:hAnsiTheme="minorHAnsi" w:cstheme="minorHAnsi"/>
          <w:b/>
          <w:bCs/>
          <w:sz w:val="22"/>
          <w:szCs w:val="22"/>
        </w:rPr>
        <w:t xml:space="preserve"> DEL AÑO DOS MIL VEINTE</w:t>
      </w:r>
      <w:r w:rsidR="00C27A3F">
        <w:rPr>
          <w:rFonts w:asciiTheme="minorHAnsi" w:hAnsiTheme="minorHAnsi" w:cstheme="minorHAnsi"/>
          <w:b/>
          <w:bCs/>
          <w:sz w:val="22"/>
          <w:szCs w:val="22"/>
        </w:rPr>
        <w:t>.</w:t>
      </w:r>
    </w:p>
    <w:p w14:paraId="58AB8A87" w14:textId="77777777" w:rsidR="006A6F27" w:rsidRDefault="006A6F27" w:rsidP="008C0BD2">
      <w:pPr>
        <w:jc w:val="both"/>
        <w:rPr>
          <w:rFonts w:asciiTheme="minorHAnsi" w:hAnsiTheme="minorHAnsi" w:cstheme="minorHAnsi"/>
          <w:b/>
          <w:bCs/>
          <w:sz w:val="22"/>
          <w:szCs w:val="22"/>
        </w:rPr>
      </w:pPr>
    </w:p>
    <w:p w14:paraId="47EE30E3" w14:textId="77777777" w:rsidR="006A6F27" w:rsidRDefault="006A6F27" w:rsidP="008C0BD2">
      <w:pPr>
        <w:jc w:val="both"/>
        <w:rPr>
          <w:rFonts w:asciiTheme="minorHAnsi" w:hAnsiTheme="minorHAnsi" w:cstheme="minorHAnsi"/>
          <w:b/>
          <w:bCs/>
          <w:sz w:val="22"/>
          <w:szCs w:val="22"/>
        </w:rPr>
      </w:pPr>
    </w:p>
    <w:p w14:paraId="17D6581F" w14:textId="77777777" w:rsidR="006A6F27" w:rsidRDefault="006A6F27" w:rsidP="008C0BD2">
      <w:pPr>
        <w:jc w:val="both"/>
        <w:rPr>
          <w:rFonts w:asciiTheme="minorHAnsi" w:hAnsiTheme="minorHAnsi" w:cstheme="minorHAnsi"/>
          <w:b/>
          <w:bCs/>
          <w:sz w:val="22"/>
          <w:szCs w:val="22"/>
        </w:rPr>
      </w:pPr>
    </w:p>
    <w:p w14:paraId="22198A19" w14:textId="77777777" w:rsidR="004602E1" w:rsidRDefault="004602E1">
      <w:pPr>
        <w:rPr>
          <w:rFonts w:asciiTheme="minorHAnsi" w:hAnsiTheme="minorHAnsi" w:cstheme="minorHAnsi"/>
          <w:sz w:val="22"/>
          <w:szCs w:val="22"/>
        </w:rPr>
      </w:pPr>
    </w:p>
    <w:p w14:paraId="7345F9D1" w14:textId="77777777" w:rsidR="00101E06" w:rsidRDefault="00101E06">
      <w:pPr>
        <w:rPr>
          <w:rFonts w:asciiTheme="minorHAnsi" w:hAnsiTheme="minorHAnsi" w:cstheme="minorHAnsi"/>
          <w:sz w:val="22"/>
          <w:szCs w:val="22"/>
        </w:rPr>
      </w:pPr>
    </w:p>
    <w:p w14:paraId="7BC4A0B5" w14:textId="77777777" w:rsidR="00101E06" w:rsidRPr="002B7A24" w:rsidRDefault="00101E06" w:rsidP="00101E06">
      <w:pPr>
        <w:suppressAutoHyphens/>
        <w:ind w:firstLine="708"/>
        <w:jc w:val="both"/>
        <w:rPr>
          <w:rFonts w:ascii="Calibri" w:eastAsia="Calibri" w:hAnsi="Calibri" w:cs="Calibri"/>
          <w:sz w:val="16"/>
          <w:szCs w:val="16"/>
          <w:lang w:eastAsia="zh-CN"/>
        </w:rPr>
      </w:pPr>
      <w:r w:rsidRPr="002B7A24">
        <w:rPr>
          <w:rFonts w:ascii="Calibri" w:eastAsia="Calibri" w:hAnsi="Calibri" w:cs="Calibri"/>
          <w:sz w:val="16"/>
          <w:szCs w:val="16"/>
          <w:lang w:eastAsia="zh-CN"/>
        </w:rPr>
        <w:t>MIRIAM ESPINOZA</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LIC. FABRICIO CUARANTA</w:t>
      </w:r>
      <w:r w:rsidRPr="002B7A24">
        <w:rPr>
          <w:rFonts w:ascii="Calibri" w:eastAsia="Calibri" w:hAnsi="Calibri" w:cs="Calibri"/>
          <w:sz w:val="16"/>
          <w:szCs w:val="16"/>
          <w:lang w:eastAsia="zh-CN"/>
        </w:rPr>
        <w:t xml:space="preserve">                                                                                    </w:t>
      </w:r>
    </w:p>
    <w:p w14:paraId="41562F19" w14:textId="77777777" w:rsidR="00101E06" w:rsidRPr="002B7A24" w:rsidRDefault="00101E06" w:rsidP="00101E06">
      <w:pPr>
        <w:suppressAutoHyphens/>
        <w:rPr>
          <w:rFonts w:ascii="Calibri" w:eastAsia="Calibri" w:hAnsi="Calibri"/>
          <w:sz w:val="16"/>
          <w:szCs w:val="16"/>
          <w:lang w:eastAsia="zh-CN"/>
        </w:rPr>
      </w:pP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Secretaria Administrativa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Presidente</w:t>
      </w:r>
    </w:p>
    <w:p w14:paraId="2259A8ED" w14:textId="77777777" w:rsidR="00101E06" w:rsidRPr="002B7A24" w:rsidRDefault="00101E06" w:rsidP="00101E06">
      <w:pPr>
        <w:suppressAutoHyphens/>
        <w:spacing w:line="256" w:lineRule="auto"/>
        <w:rPr>
          <w:rFonts w:ascii="Calibri" w:eastAsia="Calibri" w:hAnsi="Calibri"/>
          <w:sz w:val="16"/>
          <w:szCs w:val="16"/>
          <w:lang w:eastAsia="zh-CN"/>
        </w:rPr>
      </w:pP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w:t>
      </w:r>
      <w:r w:rsidRPr="002B7A24">
        <w:rPr>
          <w:rFonts w:ascii="Calibri" w:eastAsia="Calibri" w:hAnsi="Calibri" w:cs="Calibri"/>
          <w:sz w:val="16"/>
          <w:szCs w:val="16"/>
          <w:lang w:eastAsia="zh-CN"/>
        </w:rPr>
        <w:t xml:space="preserve">                                                           </w:t>
      </w:r>
    </w:p>
    <w:p w14:paraId="64B25394" w14:textId="77777777" w:rsidR="00101E06" w:rsidRPr="00E2017A" w:rsidRDefault="00101E06" w:rsidP="00101E06">
      <w:pPr>
        <w:suppressAutoHyphens/>
        <w:rPr>
          <w:rFonts w:eastAsia="Calibri" w:cstheme="minorHAnsi"/>
          <w:b/>
          <w:bCs/>
          <w:sz w:val="20"/>
          <w:szCs w:val="20"/>
          <w:lang w:eastAsia="zh-CN"/>
        </w:rPr>
      </w:pPr>
      <w:r>
        <w:rPr>
          <w:rFonts w:ascii="Calibri" w:eastAsia="Calibri" w:hAnsi="Calibri"/>
          <w:sz w:val="16"/>
          <w:szCs w:val="16"/>
          <w:lang w:eastAsia="zh-CN"/>
        </w:rPr>
        <w:t xml:space="preserve">           </w:t>
      </w:r>
      <w:r w:rsidRPr="002B7A24">
        <w:rPr>
          <w:rFonts w:ascii="Calibri" w:eastAsia="Calibri" w:hAnsi="Calibri"/>
          <w:sz w:val="16"/>
          <w:szCs w:val="16"/>
          <w:lang w:eastAsia="zh-CN"/>
        </w:rPr>
        <w:t xml:space="preserve">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w:t>
      </w:r>
      <w:r w:rsidRPr="002B7A24">
        <w:rPr>
          <w:rFonts w:ascii="Calibri" w:eastAsia="Calibri" w:hAnsi="Calibri"/>
          <w:sz w:val="16"/>
          <w:szCs w:val="16"/>
          <w:lang w:eastAsia="zh-CN"/>
        </w:rPr>
        <w:t xml:space="preserve">                                                                                                                    </w:t>
      </w:r>
    </w:p>
    <w:p w14:paraId="283D398C" w14:textId="77777777" w:rsidR="00101E06" w:rsidRPr="00C27A3F" w:rsidRDefault="00101E06" w:rsidP="00101E06">
      <w:pPr>
        <w:rPr>
          <w:rFonts w:asciiTheme="minorHAnsi" w:hAnsiTheme="minorHAnsi" w:cstheme="minorHAnsi"/>
          <w:sz w:val="22"/>
          <w:szCs w:val="22"/>
        </w:rPr>
      </w:pPr>
    </w:p>
    <w:p w14:paraId="5E8DAA21" w14:textId="77777777" w:rsidR="00101E06" w:rsidRPr="00C27A3F" w:rsidRDefault="00101E06">
      <w:pPr>
        <w:rPr>
          <w:rFonts w:asciiTheme="minorHAnsi" w:hAnsiTheme="minorHAnsi" w:cstheme="minorHAnsi"/>
          <w:sz w:val="22"/>
          <w:szCs w:val="22"/>
        </w:rPr>
      </w:pPr>
      <w:bookmarkStart w:id="0" w:name="_GoBack"/>
      <w:bookmarkEnd w:id="0"/>
    </w:p>
    <w:p w14:paraId="362054E7" w14:textId="77777777" w:rsidR="00C27E43" w:rsidRPr="00C27A3F" w:rsidRDefault="00C27E43">
      <w:pPr>
        <w:rPr>
          <w:rFonts w:asciiTheme="minorHAnsi" w:hAnsiTheme="minorHAnsi" w:cstheme="minorHAnsi"/>
          <w:sz w:val="22"/>
          <w:szCs w:val="22"/>
        </w:rPr>
      </w:pPr>
    </w:p>
    <w:sectPr w:rsidR="00C27E43" w:rsidRPr="00C27A3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956" w14:textId="77777777" w:rsidR="005324CD" w:rsidRDefault="005324CD" w:rsidP="00454243">
      <w:r>
        <w:separator/>
      </w:r>
    </w:p>
  </w:endnote>
  <w:endnote w:type="continuationSeparator" w:id="0">
    <w:p w14:paraId="0EF36D7F" w14:textId="77777777" w:rsidR="005324CD" w:rsidRDefault="005324C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E518" w14:textId="77777777" w:rsidR="005324CD" w:rsidRDefault="00532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06A7" w14:textId="77777777" w:rsidR="005324CD" w:rsidRDefault="005324CD">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5324CD" w:rsidRPr="00950DFB" w:rsidRDefault="005324C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5324CD" w:rsidRPr="00CC124D" w:rsidRDefault="005324CD"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5324CD" w:rsidRPr="00CC124D" w:rsidRDefault="005324C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5324CD" w:rsidRPr="00950DFB" w:rsidRDefault="005324CD"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5324CD" w:rsidRPr="00CC124D" w:rsidRDefault="005324CD"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5324CD" w:rsidRPr="00CC124D" w:rsidRDefault="005324CD"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5324CD" w:rsidRPr="00A177F4" w:rsidRDefault="005324C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5324CD" w:rsidRPr="00A177F4" w:rsidRDefault="005324CD">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5324CD" w:rsidRPr="00F91F8A" w:rsidRDefault="005324C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5324CD" w:rsidRPr="00F91F8A" w:rsidRDefault="005324C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5324CD" w:rsidRPr="00F91F8A" w:rsidRDefault="005324CD"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5324CD" w:rsidRPr="00F91F8A" w:rsidRDefault="005324CD"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162" w14:textId="77777777" w:rsidR="005324CD" w:rsidRDefault="00532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578" w14:textId="77777777" w:rsidR="005324CD" w:rsidRDefault="005324CD" w:rsidP="00454243">
      <w:r>
        <w:separator/>
      </w:r>
    </w:p>
  </w:footnote>
  <w:footnote w:type="continuationSeparator" w:id="0">
    <w:p w14:paraId="3DDB2BAD" w14:textId="77777777" w:rsidR="005324CD" w:rsidRDefault="005324C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C1CE" w14:textId="77777777" w:rsidR="005324CD" w:rsidRDefault="005324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B4EB" w14:textId="77777777" w:rsidR="005324CD" w:rsidRDefault="005324CD"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5324CD" w:rsidRDefault="005324CD" w:rsidP="005944B6">
    <w:pPr>
      <w:pStyle w:val="Encabezado"/>
    </w:pPr>
  </w:p>
  <w:bookmarkEnd w:id="1"/>
  <w:bookmarkEnd w:id="2"/>
  <w:p w14:paraId="49EC73C9" w14:textId="77777777" w:rsidR="005324CD" w:rsidRDefault="005324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C54" w14:textId="77777777" w:rsidR="005324CD" w:rsidRDefault="005324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5426"/>
    <w:rsid w:val="000A6B3F"/>
    <w:rsid w:val="000B06FE"/>
    <w:rsid w:val="00101E06"/>
    <w:rsid w:val="00132099"/>
    <w:rsid w:val="001A123F"/>
    <w:rsid w:val="00225215"/>
    <w:rsid w:val="002753E0"/>
    <w:rsid w:val="00305B16"/>
    <w:rsid w:val="00313354"/>
    <w:rsid w:val="00315D70"/>
    <w:rsid w:val="00360E45"/>
    <w:rsid w:val="00373DF4"/>
    <w:rsid w:val="003A23F3"/>
    <w:rsid w:val="003A4EA1"/>
    <w:rsid w:val="003A4EAA"/>
    <w:rsid w:val="003F3DDE"/>
    <w:rsid w:val="00452ADC"/>
    <w:rsid w:val="00454243"/>
    <w:rsid w:val="0045574D"/>
    <w:rsid w:val="004602E1"/>
    <w:rsid w:val="004B168A"/>
    <w:rsid w:val="004D19AD"/>
    <w:rsid w:val="005324CD"/>
    <w:rsid w:val="00545EF3"/>
    <w:rsid w:val="005559BD"/>
    <w:rsid w:val="0057765D"/>
    <w:rsid w:val="005944B6"/>
    <w:rsid w:val="005E24B5"/>
    <w:rsid w:val="006064AD"/>
    <w:rsid w:val="006A6F27"/>
    <w:rsid w:val="006C32D2"/>
    <w:rsid w:val="0073754B"/>
    <w:rsid w:val="007C4AE1"/>
    <w:rsid w:val="007D1161"/>
    <w:rsid w:val="007E575F"/>
    <w:rsid w:val="007F280F"/>
    <w:rsid w:val="007F6401"/>
    <w:rsid w:val="00824AC5"/>
    <w:rsid w:val="0086256A"/>
    <w:rsid w:val="008C0BD2"/>
    <w:rsid w:val="008D0280"/>
    <w:rsid w:val="008D414E"/>
    <w:rsid w:val="009027A5"/>
    <w:rsid w:val="00950DFB"/>
    <w:rsid w:val="00992277"/>
    <w:rsid w:val="009969E2"/>
    <w:rsid w:val="009B0A39"/>
    <w:rsid w:val="009D1CE6"/>
    <w:rsid w:val="00A1280B"/>
    <w:rsid w:val="00A177F4"/>
    <w:rsid w:val="00A51A1C"/>
    <w:rsid w:val="00A55F93"/>
    <w:rsid w:val="00A76CDC"/>
    <w:rsid w:val="00A828B1"/>
    <w:rsid w:val="00A92018"/>
    <w:rsid w:val="00AA1214"/>
    <w:rsid w:val="00AC48AC"/>
    <w:rsid w:val="00BC214E"/>
    <w:rsid w:val="00BC6990"/>
    <w:rsid w:val="00BE7B08"/>
    <w:rsid w:val="00C257B4"/>
    <w:rsid w:val="00C27A3F"/>
    <w:rsid w:val="00C27E43"/>
    <w:rsid w:val="00C31E8D"/>
    <w:rsid w:val="00C65B62"/>
    <w:rsid w:val="00C9308C"/>
    <w:rsid w:val="00CB110A"/>
    <w:rsid w:val="00CB7787"/>
    <w:rsid w:val="00CC124D"/>
    <w:rsid w:val="00D2570B"/>
    <w:rsid w:val="00D6673F"/>
    <w:rsid w:val="00DA1DF8"/>
    <w:rsid w:val="00DB288F"/>
    <w:rsid w:val="00E33646"/>
    <w:rsid w:val="00E670C6"/>
    <w:rsid w:val="00E81051"/>
    <w:rsid w:val="00E812E5"/>
    <w:rsid w:val="00EA68D4"/>
    <w:rsid w:val="00EF25D2"/>
    <w:rsid w:val="00EF305E"/>
    <w:rsid w:val="00F16F4C"/>
    <w:rsid w:val="00F247B5"/>
    <w:rsid w:val="00F46AB1"/>
    <w:rsid w:val="00F633B4"/>
    <w:rsid w:val="00F872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B3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 w:type="table" w:styleId="Tablaconcuadrcula">
    <w:name w:val="Table Grid"/>
    <w:basedOn w:val="Tablanormal"/>
    <w:uiPriority w:val="39"/>
    <w:rsid w:val="008D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 w:type="table" w:styleId="Tablaconcuadrcula">
    <w:name w:val="Table Grid"/>
    <w:basedOn w:val="Tablanormal"/>
    <w:uiPriority w:val="39"/>
    <w:rsid w:val="008D0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662">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91462950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04ED-EA23-458F-89D8-EFDC55AA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2020-07-28T11:14:00Z</cp:lastPrinted>
  <dcterms:created xsi:type="dcterms:W3CDTF">2020-07-27T12:35:00Z</dcterms:created>
  <dcterms:modified xsi:type="dcterms:W3CDTF">2020-07-28T11:14:00Z</dcterms:modified>
</cp:coreProperties>
</file>