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9573" w14:textId="63ACF74B" w:rsidR="00315D70" w:rsidRPr="00BC6990" w:rsidRDefault="009E6E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   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32558" w14:textId="4F2FEECC" w:rsidR="00BC6990" w:rsidRDefault="00A168E6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0A2439">
        <w:rPr>
          <w:rFonts w:asciiTheme="minorHAnsi" w:hAnsiTheme="minorHAnsi" w:cstheme="minorHAnsi"/>
          <w:b/>
          <w:bCs/>
          <w:sz w:val="22"/>
          <w:szCs w:val="22"/>
          <w:u w:val="single"/>
        </w:rPr>
        <w:t>27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 w:rsidR="007C5BF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7416AFC8" w14:textId="77777777" w:rsidR="00BC6990" w:rsidRPr="00334309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3F518019" w14:textId="3E1F15D7" w:rsidR="00E72110" w:rsidRDefault="007E6E8F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Expediente N° 2020-000057/H1</w:t>
      </w:r>
      <w:r w:rsidR="00E72110" w:rsidRPr="00E72110">
        <w:rPr>
          <w:rFonts w:asciiTheme="minorHAnsi" w:hAnsiTheme="minorHAnsi" w:cstheme="minorHAnsi"/>
          <w:sz w:val="22"/>
          <w:szCs w:val="22"/>
        </w:rPr>
        <w:t>-GC, caratulado: DEPARTAMENTO EJECUTIVO</w:t>
      </w:r>
      <w:r w:rsidR="00E72110">
        <w:rPr>
          <w:rFonts w:asciiTheme="minorHAnsi" w:hAnsiTheme="minorHAnsi" w:cstheme="minorHAnsi"/>
          <w:sz w:val="22"/>
          <w:szCs w:val="22"/>
        </w:rPr>
        <w:t xml:space="preserve"> -</w:t>
      </w:r>
      <w:r w:rsidR="00E72110" w:rsidRPr="00E72110">
        <w:rPr>
          <w:rFonts w:asciiTheme="minorHAnsi" w:hAnsiTheme="minorHAnsi" w:cstheme="minorHAnsi"/>
          <w:sz w:val="22"/>
          <w:szCs w:val="22"/>
        </w:rPr>
        <w:t xml:space="preserve"> E/DECRETO DE PRÓRROGA AISLAMIENTO SOCIAL PREVENTIVO Y OBLIGATORIO HASTA EL 07-06-2020; y </w:t>
      </w:r>
    </w:p>
    <w:p w14:paraId="79805DAE" w14:textId="77777777" w:rsidR="00E72110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E72110">
        <w:rPr>
          <w:rFonts w:asciiTheme="minorHAnsi" w:hAnsiTheme="minorHAnsi" w:cstheme="minorHAnsi"/>
          <w:b/>
          <w:sz w:val="22"/>
          <w:szCs w:val="22"/>
          <w:u w:val="single"/>
        </w:rPr>
        <w:t>CONSIDERANDO: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21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A6574" w14:textId="59F3C1C4" w:rsidR="00E72110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E72110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2110">
        <w:rPr>
          <w:rFonts w:asciiTheme="minorHAnsi" w:hAnsiTheme="minorHAnsi" w:cstheme="minorHAnsi"/>
          <w:sz w:val="22"/>
          <w:szCs w:val="22"/>
        </w:rPr>
        <w:t xml:space="preserve"> mediante D</w:t>
      </w:r>
      <w:r>
        <w:rPr>
          <w:rFonts w:asciiTheme="minorHAnsi" w:hAnsiTheme="minorHAnsi" w:cstheme="minorHAnsi"/>
          <w:sz w:val="22"/>
          <w:szCs w:val="22"/>
        </w:rPr>
        <w:t>ecreto de Necesidad y Urgencia N</w:t>
      </w:r>
      <w:r w:rsidRPr="00E72110">
        <w:rPr>
          <w:rFonts w:asciiTheme="minorHAnsi" w:hAnsiTheme="minorHAnsi" w:cstheme="minorHAnsi"/>
          <w:sz w:val="22"/>
          <w:szCs w:val="22"/>
        </w:rPr>
        <w:t xml:space="preserve">º 493/2020 el Poder Ejecutivo Nacional prorrogó hasta el 07 de junio próximo la vigencia del Decreto N° 297/20, que fuera prorrogado por los Decretos </w:t>
      </w:r>
      <w:proofErr w:type="spellStart"/>
      <w:r w:rsidRPr="00E72110">
        <w:rPr>
          <w:rFonts w:asciiTheme="minorHAnsi" w:hAnsiTheme="minorHAnsi" w:cstheme="minorHAnsi"/>
          <w:sz w:val="22"/>
          <w:szCs w:val="22"/>
        </w:rPr>
        <w:t>Nros</w:t>
      </w:r>
      <w:proofErr w:type="spellEnd"/>
      <w:r w:rsidRPr="00E72110">
        <w:rPr>
          <w:rFonts w:asciiTheme="minorHAnsi" w:hAnsiTheme="minorHAnsi" w:cstheme="minorHAnsi"/>
          <w:sz w:val="22"/>
          <w:szCs w:val="22"/>
        </w:rPr>
        <w:t>. 325/20, 355/20, 408/20 y 459/20, así como de toda la normativa complementaria dictada respecto del “aislamiento social, preventivo y obligatorio”, desde la entrada en vigencia del primer reso</w:t>
      </w:r>
      <w:r>
        <w:rPr>
          <w:rFonts w:asciiTheme="minorHAnsi" w:hAnsiTheme="minorHAnsi" w:cstheme="minorHAnsi"/>
          <w:sz w:val="22"/>
          <w:szCs w:val="22"/>
        </w:rPr>
        <w:t>lutivo hasta el día de la fecha.</w:t>
      </w:r>
    </w:p>
    <w:p w14:paraId="2C392939" w14:textId="77777777" w:rsidR="00E72110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E72110">
        <w:rPr>
          <w:rFonts w:asciiTheme="minorHAnsi" w:hAnsiTheme="minorHAnsi" w:cstheme="minorHAnsi"/>
          <w:sz w:val="22"/>
          <w:szCs w:val="22"/>
        </w:rPr>
        <w:t xml:space="preserve"> en línea con dicha normativa, el Gobierno de la Provincia de Mendoza emitió el </w:t>
      </w:r>
      <w:r>
        <w:rPr>
          <w:rFonts w:asciiTheme="minorHAnsi" w:hAnsiTheme="minorHAnsi" w:cstheme="minorHAnsi"/>
          <w:sz w:val="22"/>
          <w:szCs w:val="22"/>
        </w:rPr>
        <w:t>Decreto N</w:t>
      </w:r>
      <w:r w:rsidRPr="00E72110">
        <w:rPr>
          <w:rFonts w:asciiTheme="minorHAnsi" w:hAnsiTheme="minorHAnsi" w:cstheme="minorHAnsi"/>
          <w:sz w:val="22"/>
          <w:szCs w:val="22"/>
        </w:rPr>
        <w:t>º 657/2020, a través del cual dispuso la prórroga hasta la misma fecha de las medidas dispuestas en los Decretos-Acuerdo emitidos desde el inicio de la situación de emergencia, siempre en el marco de lo legislado en los dispositivos nacionales, y dentro de los Prot</w:t>
      </w:r>
      <w:r>
        <w:rPr>
          <w:rFonts w:asciiTheme="minorHAnsi" w:hAnsiTheme="minorHAnsi" w:cstheme="minorHAnsi"/>
          <w:sz w:val="22"/>
          <w:szCs w:val="22"/>
        </w:rPr>
        <w:t>ocolos oportunamente aprobados.</w:t>
      </w:r>
    </w:p>
    <w:p w14:paraId="433F424B" w14:textId="77777777" w:rsidR="00E72110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Pr="00E72110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on el objeto de hacer efectivas en el ámbito municipal</w:t>
      </w:r>
      <w:r w:rsidRPr="00E72110">
        <w:rPr>
          <w:rFonts w:asciiTheme="minorHAnsi" w:hAnsiTheme="minorHAnsi" w:cstheme="minorHAnsi"/>
          <w:sz w:val="22"/>
          <w:szCs w:val="22"/>
        </w:rPr>
        <w:t xml:space="preserve"> dichas disposiciones, es menester emitir un acto administrativo que contemple la continuidad de las medidas de aislamiento social, preventivo y obligatorio vigentes; sin embargo, y atento a que las demandas de los contribuyentes requieren de una paulatina reanudación de actividades esenciales,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2110">
        <w:rPr>
          <w:rFonts w:asciiTheme="minorHAnsi" w:hAnsiTheme="minorHAnsi" w:cstheme="minorHAnsi"/>
          <w:sz w:val="22"/>
          <w:szCs w:val="22"/>
        </w:rPr>
        <w:t>para la prestación de los servicios básicos que presta el Municipio, este Departamento Ejecutivo considera propicia la oportunidad para reanudar la atención al público de sus áreas municipales,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2110">
        <w:rPr>
          <w:rFonts w:asciiTheme="minorHAnsi" w:hAnsiTheme="minorHAnsi" w:cstheme="minorHAnsi"/>
          <w:sz w:val="22"/>
          <w:szCs w:val="22"/>
        </w:rPr>
        <w:t>respetando las medidas de salubridad vigentes, mediante la aplicación de los protocolos sanita</w:t>
      </w:r>
      <w:r>
        <w:rPr>
          <w:rFonts w:asciiTheme="minorHAnsi" w:hAnsiTheme="minorHAnsi" w:cstheme="minorHAnsi"/>
          <w:sz w:val="22"/>
          <w:szCs w:val="22"/>
        </w:rPr>
        <w:t>rios elaborados a dicho efecto.</w:t>
      </w:r>
    </w:p>
    <w:p w14:paraId="2867B86F" w14:textId="270B3D87" w:rsidR="00E72110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E72110">
        <w:rPr>
          <w:rFonts w:asciiTheme="minorHAnsi" w:hAnsiTheme="minorHAnsi" w:cstheme="minorHAnsi"/>
          <w:sz w:val="22"/>
          <w:szCs w:val="22"/>
        </w:rPr>
        <w:t xml:space="preserve"> la apertura de los sectores de atención de contribuyentes trae aparejada la necesidad de disponer la reanudación de los procedimientos y los plazos administrativos que se hallan suspendidos, ello con el objeto de atender las nuevas demandas y satisfacer las pretensiones que los administrados planteen y/o que se encuentren pendi</w:t>
      </w:r>
      <w:r>
        <w:rPr>
          <w:rFonts w:asciiTheme="minorHAnsi" w:hAnsiTheme="minorHAnsi" w:cstheme="minorHAnsi"/>
          <w:sz w:val="22"/>
          <w:szCs w:val="22"/>
        </w:rPr>
        <w:t>entes de resolución a la fecha.</w:t>
      </w:r>
    </w:p>
    <w:p w14:paraId="68DD90EE" w14:textId="77777777" w:rsidR="00946EB2" w:rsidRDefault="00E72110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Que</w:t>
      </w:r>
      <w:r w:rsidRPr="00E72110">
        <w:rPr>
          <w:rFonts w:asciiTheme="minorHAnsi" w:hAnsiTheme="minorHAnsi" w:cstheme="minorHAnsi"/>
          <w:sz w:val="22"/>
          <w:szCs w:val="22"/>
        </w:rPr>
        <w:t xml:space="preserve"> deberá instruirse a las áreas municipales encargadas de impulsar los procedimientos, a fin de que efectúen la reorganización de tareas que sea necesaria, por parte del personal que se encuentre cumpliendo funcione</w:t>
      </w:r>
      <w:r>
        <w:rPr>
          <w:rFonts w:asciiTheme="minorHAnsi" w:hAnsiTheme="minorHAnsi" w:cstheme="minorHAnsi"/>
          <w:sz w:val="22"/>
          <w:szCs w:val="22"/>
        </w:rPr>
        <w:t xml:space="preserve">s – en forma física o remota – </w:t>
      </w:r>
      <w:r w:rsidRPr="00E72110">
        <w:rPr>
          <w:rFonts w:asciiTheme="minorHAnsi" w:hAnsiTheme="minorHAnsi" w:cstheme="minorHAnsi"/>
          <w:sz w:val="22"/>
          <w:szCs w:val="22"/>
        </w:rPr>
        <w:t>con la salvedad de aquellos exceptuados o facultados a hacer uso de licencias extraordin</w:t>
      </w:r>
      <w:r>
        <w:rPr>
          <w:rFonts w:asciiTheme="minorHAnsi" w:hAnsiTheme="minorHAnsi" w:cstheme="minorHAnsi"/>
          <w:sz w:val="22"/>
          <w:szCs w:val="22"/>
        </w:rPr>
        <w:t>arias, por la normativa vigente</w:t>
      </w:r>
      <w:r w:rsidRPr="00E72110">
        <w:rPr>
          <w:rFonts w:asciiTheme="minorHAnsi" w:hAnsiTheme="minorHAnsi" w:cstheme="minorHAnsi"/>
          <w:sz w:val="22"/>
          <w:szCs w:val="22"/>
        </w:rPr>
        <w:t xml:space="preserve"> y de los espacios físicos en los que la atención al público será habilitada, a fin de dar cumplimiento, en la medida de sus posibilidades, a los procesos vigentes, en los plazos que la legislación establece. </w:t>
      </w:r>
    </w:p>
    <w:p w14:paraId="0BF4B8DA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46642D88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0C3385F0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2FA5FF43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2C7D9190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4611EF" w14:textId="77777777" w:rsidR="00946EB2" w:rsidRPr="00946EB2" w:rsidRDefault="00946EB2" w:rsidP="00946EB2">
      <w:pPr>
        <w:pStyle w:val="NormalWeb"/>
        <w:spacing w:before="0" w:beforeAutospacing="0" w:after="0" w:afterAutospacing="0"/>
        <w:ind w:right="245"/>
        <w:jc w:val="right"/>
        <w:rPr>
          <w:rFonts w:asciiTheme="minorHAnsi" w:hAnsiTheme="minorHAnsi" w:cstheme="minorHAnsi"/>
          <w:sz w:val="22"/>
          <w:szCs w:val="22"/>
        </w:rPr>
      </w:pPr>
      <w:r w:rsidRPr="00946EB2">
        <w:rPr>
          <w:rFonts w:asciiTheme="minorHAnsi" w:hAnsiTheme="minorHAnsi" w:cstheme="minorHAnsi"/>
          <w:sz w:val="22"/>
          <w:szCs w:val="22"/>
        </w:rPr>
        <w:t>HOJA N° 2</w:t>
      </w:r>
    </w:p>
    <w:p w14:paraId="002FC8F3" w14:textId="7CE8E923" w:rsidR="00946EB2" w:rsidRPr="00946EB2" w:rsidRDefault="00946EB2" w:rsidP="00946EB2">
      <w:pPr>
        <w:pStyle w:val="NormalWeb"/>
        <w:spacing w:before="322" w:beforeAutospacing="0" w:after="0" w:afterAutospacing="0"/>
        <w:ind w:right="245"/>
        <w:jc w:val="right"/>
        <w:rPr>
          <w:rFonts w:asciiTheme="minorHAnsi" w:hAnsiTheme="minorHAnsi" w:cstheme="minorHAnsi"/>
          <w:sz w:val="22"/>
          <w:szCs w:val="22"/>
        </w:rPr>
      </w:pPr>
      <w:r w:rsidRPr="00946EB2">
        <w:rPr>
          <w:rFonts w:asciiTheme="minorHAnsi" w:hAnsiTheme="minorHAnsi" w:cstheme="minorHAnsi"/>
          <w:sz w:val="22"/>
          <w:szCs w:val="22"/>
        </w:rPr>
        <w:t xml:space="preserve">ORDENANZA N° </w:t>
      </w:r>
      <w:r w:rsidR="000A2439">
        <w:rPr>
          <w:rFonts w:asciiTheme="minorHAnsi" w:hAnsiTheme="minorHAnsi" w:cstheme="minorHAnsi"/>
          <w:sz w:val="22"/>
          <w:szCs w:val="22"/>
        </w:rPr>
        <w:t>7027</w:t>
      </w:r>
      <w:r w:rsidRPr="00946EB2">
        <w:rPr>
          <w:rFonts w:asciiTheme="minorHAnsi" w:hAnsiTheme="minorHAnsi" w:cstheme="minorHAnsi"/>
          <w:sz w:val="22"/>
          <w:szCs w:val="22"/>
        </w:rPr>
        <w:t>/2020</w:t>
      </w:r>
    </w:p>
    <w:p w14:paraId="0CFD821B" w14:textId="749C2864" w:rsidR="00946EB2" w:rsidRP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POR ELLO:</w:t>
      </w:r>
    </w:p>
    <w:p w14:paraId="298F54F9" w14:textId="748B8081" w:rsidR="00946EB2" w:rsidRPr="00946EB2" w:rsidRDefault="00946EB2" w:rsidP="00946EB2">
      <w:pPr>
        <w:pStyle w:val="NormalWeb"/>
        <w:spacing w:before="322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EB2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1A96E0EA" w14:textId="78D73EA7" w:rsidR="00946EB2" w:rsidRPr="00946EB2" w:rsidRDefault="00946EB2" w:rsidP="00946EB2">
      <w:pPr>
        <w:pStyle w:val="NormalWeb"/>
        <w:spacing w:before="322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EB2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6C17457E" w14:textId="77777777" w:rsidR="00946EB2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946EB2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 w:rsidR="00E72110" w:rsidRPr="00E72110">
        <w:rPr>
          <w:rFonts w:asciiTheme="minorHAnsi" w:hAnsiTheme="minorHAnsi" w:cstheme="minorHAnsi"/>
          <w:sz w:val="22"/>
          <w:szCs w:val="22"/>
        </w:rPr>
        <w:t xml:space="preserve"> Refrendase en todas sus partes el Decreto 1270/20 del Departamento Ejecutivo atento a lo solicitado en su art. 9.</w:t>
      </w:r>
    </w:p>
    <w:p w14:paraId="76933811" w14:textId="3CADFA04" w:rsidR="00024EF3" w:rsidRPr="00E72110" w:rsidRDefault="00946EB2" w:rsidP="00024EF3">
      <w:pPr>
        <w:pStyle w:val="NormalWeb"/>
        <w:spacing w:before="322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ARTÍCULO 2</w:t>
      </w:r>
      <w:r w:rsidR="009019B2" w:rsidRPr="00E7211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019B2" w:rsidRPr="00E72110">
        <w:rPr>
          <w:rFonts w:asciiTheme="minorHAnsi" w:hAnsiTheme="minorHAnsi" w:cstheme="minorHAnsi"/>
          <w:sz w:val="22"/>
          <w:szCs w:val="22"/>
        </w:rPr>
        <w:t xml:space="preserve"> Comuníquese al Departamento Ejecutivo, dese al registro municipal respectivo, publíquese y cumplido, archívese. </w:t>
      </w:r>
    </w:p>
    <w:p w14:paraId="7FC12C9F" w14:textId="7B39EBC5" w:rsidR="00BC6990" w:rsidRDefault="009019B2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p.n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34309D" w14:textId="77777777" w:rsidR="009019B2" w:rsidRDefault="009019B2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</w:p>
    <w:p w14:paraId="30516FF1" w14:textId="07C85BFC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946EB2">
        <w:rPr>
          <w:rFonts w:asciiTheme="minorHAnsi" w:hAnsiTheme="minorHAnsi" w:cstheme="minorHAnsi"/>
          <w:b/>
          <w:bCs/>
          <w:sz w:val="22"/>
          <w:szCs w:val="22"/>
        </w:rPr>
        <w:t>DIECISEIS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327B2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9019B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ACAAA6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1B412D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F388F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E2ADE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B64337" w14:textId="093D592B" w:rsidR="00386C25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28557" w14:textId="77777777" w:rsidR="00386C25" w:rsidRPr="0045574D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5240C" w14:textId="0E44EC8A" w:rsidR="00C27E43" w:rsidRPr="0005412C" w:rsidRDefault="00386C25" w:rsidP="0005412C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eastAsia="zh-CN"/>
        </w:rPr>
      </w:pPr>
      <w:r w:rsidRPr="00585052">
        <w:rPr>
          <w:rFonts w:ascii="Calibri" w:eastAsia="Calibri" w:hAnsi="Calibri"/>
          <w:sz w:val="16"/>
          <w:szCs w:val="16"/>
          <w:lang w:eastAsia="zh-CN"/>
        </w:rPr>
        <w:t xml:space="preserve">                                                                                                              </w:t>
      </w:r>
    </w:p>
    <w:sectPr w:rsidR="00C27E43" w:rsidRPr="0005412C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3425" w14:textId="77777777" w:rsidR="00E72110" w:rsidRDefault="00E72110" w:rsidP="00454243">
      <w:r>
        <w:separator/>
      </w:r>
    </w:p>
  </w:endnote>
  <w:endnote w:type="continuationSeparator" w:id="0">
    <w:p w14:paraId="1B09348B" w14:textId="77777777" w:rsidR="00E72110" w:rsidRDefault="00E72110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DFF" w14:textId="77777777" w:rsidR="00E72110" w:rsidRDefault="00E721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0FC4" w14:textId="77777777" w:rsidR="00E72110" w:rsidRDefault="00E7211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7C2C3" wp14:editId="6E078DE0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F54F" w14:textId="77777777" w:rsidR="00E72110" w:rsidRPr="00950DFB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FC69B0F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3137739B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263F54F" w14:textId="77777777" w:rsidR="00024EF3" w:rsidRPr="00950DFB" w:rsidRDefault="00024EF3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FC69B0F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3137739B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DABED1" wp14:editId="0CD715E5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4635" w14:textId="77777777" w:rsidR="00E72110" w:rsidRPr="00A177F4" w:rsidRDefault="00E7211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F184635" w14:textId="77777777" w:rsidR="00024EF3" w:rsidRPr="00A177F4" w:rsidRDefault="00024EF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6FADFC" wp14:editId="0172747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DE23D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0C1CFF20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73DE23D" w14:textId="77777777" w:rsidR="00024EF3" w:rsidRPr="00F91F8A" w:rsidRDefault="00024EF3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0C1CFF20" w14:textId="77777777" w:rsidR="00024EF3" w:rsidRPr="00F91F8A" w:rsidRDefault="00024EF3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E9C900" wp14:editId="09D0D67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BFC9C4" wp14:editId="77AC271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1B68" w14:textId="77777777" w:rsidR="00E72110" w:rsidRDefault="00E72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AC57" w14:textId="77777777" w:rsidR="00E72110" w:rsidRDefault="00E72110" w:rsidP="00454243">
      <w:r>
        <w:separator/>
      </w:r>
    </w:p>
  </w:footnote>
  <w:footnote w:type="continuationSeparator" w:id="0">
    <w:p w14:paraId="7CDCE024" w14:textId="77777777" w:rsidR="00E72110" w:rsidRDefault="00E72110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AD45" w14:textId="77777777" w:rsidR="00E72110" w:rsidRDefault="00E721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80C6" w14:textId="77777777" w:rsidR="00E72110" w:rsidRDefault="00E72110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8AF3A45" wp14:editId="255B4A8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FFEF4" w14:textId="77777777" w:rsidR="00E72110" w:rsidRDefault="00E72110" w:rsidP="005944B6">
    <w:pPr>
      <w:pStyle w:val="Encabezado"/>
    </w:pPr>
  </w:p>
  <w:bookmarkEnd w:id="1"/>
  <w:bookmarkEnd w:id="2"/>
  <w:p w14:paraId="49D49402" w14:textId="77777777" w:rsidR="00E72110" w:rsidRDefault="00E721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49D8" w14:textId="77777777" w:rsidR="00E72110" w:rsidRDefault="00E72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4EF3"/>
    <w:rsid w:val="0005412C"/>
    <w:rsid w:val="000A2439"/>
    <w:rsid w:val="000A6B3F"/>
    <w:rsid w:val="001A123F"/>
    <w:rsid w:val="00225215"/>
    <w:rsid w:val="002753E0"/>
    <w:rsid w:val="002772C0"/>
    <w:rsid w:val="00305B16"/>
    <w:rsid w:val="00315D70"/>
    <w:rsid w:val="00334309"/>
    <w:rsid w:val="00336DDC"/>
    <w:rsid w:val="00373DF4"/>
    <w:rsid w:val="00386C25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0195E"/>
    <w:rsid w:val="006745A8"/>
    <w:rsid w:val="006C32D2"/>
    <w:rsid w:val="007327B2"/>
    <w:rsid w:val="0073754B"/>
    <w:rsid w:val="007C4AE1"/>
    <w:rsid w:val="007C5BF4"/>
    <w:rsid w:val="007D1161"/>
    <w:rsid w:val="007D3A69"/>
    <w:rsid w:val="007E6E8F"/>
    <w:rsid w:val="007F280F"/>
    <w:rsid w:val="007F6401"/>
    <w:rsid w:val="0086256A"/>
    <w:rsid w:val="00893B59"/>
    <w:rsid w:val="008C0BD2"/>
    <w:rsid w:val="008D414E"/>
    <w:rsid w:val="009019B2"/>
    <w:rsid w:val="009027A5"/>
    <w:rsid w:val="0093446C"/>
    <w:rsid w:val="00946EB2"/>
    <w:rsid w:val="00950DFB"/>
    <w:rsid w:val="00964953"/>
    <w:rsid w:val="00992277"/>
    <w:rsid w:val="00992C03"/>
    <w:rsid w:val="009B0A39"/>
    <w:rsid w:val="009E6E70"/>
    <w:rsid w:val="00A168E6"/>
    <w:rsid w:val="00A177F4"/>
    <w:rsid w:val="00A51A1C"/>
    <w:rsid w:val="00A828B1"/>
    <w:rsid w:val="00AC3441"/>
    <w:rsid w:val="00B65803"/>
    <w:rsid w:val="00BC214E"/>
    <w:rsid w:val="00BC6990"/>
    <w:rsid w:val="00C220DC"/>
    <w:rsid w:val="00C24F3B"/>
    <w:rsid w:val="00C257B4"/>
    <w:rsid w:val="00C27E43"/>
    <w:rsid w:val="00C53510"/>
    <w:rsid w:val="00C724D7"/>
    <w:rsid w:val="00CB110A"/>
    <w:rsid w:val="00CB7787"/>
    <w:rsid w:val="00CC124D"/>
    <w:rsid w:val="00D120FB"/>
    <w:rsid w:val="00D2570B"/>
    <w:rsid w:val="00D44B58"/>
    <w:rsid w:val="00DA1DF8"/>
    <w:rsid w:val="00DF1DCB"/>
    <w:rsid w:val="00E670C6"/>
    <w:rsid w:val="00E72110"/>
    <w:rsid w:val="00E81051"/>
    <w:rsid w:val="00E812E5"/>
    <w:rsid w:val="00EA68D4"/>
    <w:rsid w:val="00EF25D2"/>
    <w:rsid w:val="00F247B5"/>
    <w:rsid w:val="00F30596"/>
    <w:rsid w:val="00F46AB1"/>
    <w:rsid w:val="00F91F8A"/>
    <w:rsid w:val="00FB7A43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025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C68D-1044-4310-AF83-FDD10261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2020-06-17T13:29:00Z</cp:lastPrinted>
  <dcterms:created xsi:type="dcterms:W3CDTF">2020-06-12T14:34:00Z</dcterms:created>
  <dcterms:modified xsi:type="dcterms:W3CDTF">2020-06-17T13:32:00Z</dcterms:modified>
</cp:coreProperties>
</file>