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 xml:space="preserve">ORDENANZA Nº </w:t>
      </w:r>
      <w:r w:rsidR="00CE1BD2"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>6782</w:t>
      </w:r>
      <w:r>
        <w:rPr>
          <w:rFonts w:asciiTheme="majorHAnsi" w:hAnsiTheme="majorHAnsi" w:cs="Calibri,Bold"/>
          <w:b/>
          <w:bCs/>
          <w:color w:val="000000"/>
          <w:u w:val="single"/>
          <w:lang w:eastAsia="es-AR"/>
        </w:rPr>
        <w:t>/18</w:t>
      </w: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Pr="004B70A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4B70A9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VISTO:</w:t>
      </w: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04680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lang w:eastAsia="es-AR"/>
        </w:rPr>
      </w:pPr>
      <w:r>
        <w:rPr>
          <w:rFonts w:asciiTheme="majorHAnsi" w:hAnsiTheme="majorHAnsi" w:cs="Cambria"/>
          <w:color w:val="000000"/>
          <w:lang w:eastAsia="es-AR"/>
        </w:rPr>
        <w:t>El expediente Nº 59-H-2018</w:t>
      </w:r>
      <w:r w:rsidR="00046809" w:rsidRPr="00046809">
        <w:rPr>
          <w:rFonts w:asciiTheme="majorHAnsi" w:hAnsiTheme="majorHAnsi" w:cs="Cambria"/>
          <w:color w:val="000000"/>
          <w:lang w:eastAsia="es-AR"/>
        </w:rPr>
        <w:t>, caratulado: “</w:t>
      </w:r>
      <w:r>
        <w:rPr>
          <w:rFonts w:asciiTheme="majorHAnsi" w:hAnsiTheme="majorHAnsi" w:cs="Cambria"/>
          <w:color w:val="000000"/>
          <w:lang w:eastAsia="es-AR"/>
        </w:rPr>
        <w:t xml:space="preserve">BLOQUE FRENTE CAMBIA MENDOZA </w:t>
      </w:r>
      <w:r w:rsidR="00046809" w:rsidRPr="00046809">
        <w:rPr>
          <w:rFonts w:asciiTheme="majorHAnsi" w:hAnsiTheme="majorHAnsi" w:cs="Cambria"/>
          <w:color w:val="000000"/>
          <w:lang w:eastAsia="es-AR"/>
        </w:rPr>
        <w:t>CONCEJAL ESPINOZA MIRIAM</w:t>
      </w:r>
      <w:r>
        <w:rPr>
          <w:rFonts w:asciiTheme="majorHAnsi" w:hAnsiTheme="majorHAnsi" w:cs="Cambria"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Cambria"/>
          <w:color w:val="000000"/>
          <w:lang w:eastAsia="es-AR"/>
        </w:rPr>
        <w:t>-</w:t>
      </w:r>
      <w:r>
        <w:rPr>
          <w:rFonts w:asciiTheme="majorHAnsi" w:hAnsiTheme="majorHAnsi" w:cs="Cambria"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Cambria"/>
          <w:color w:val="000000"/>
          <w:lang w:eastAsia="es-AR"/>
        </w:rPr>
        <w:t>S/DENOMINACION DE CALLES DE MUJERES</w:t>
      </w:r>
      <w:r>
        <w:rPr>
          <w:rFonts w:asciiTheme="majorHAnsi" w:hAnsiTheme="majorHAnsi" w:cs="Cambria"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Cambria"/>
          <w:color w:val="000000"/>
          <w:lang w:eastAsia="es-AR"/>
        </w:rPr>
        <w:t>DESTACADAS”, y</w:t>
      </w: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4B70A9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CONSIDERANDO:</w:t>
      </w:r>
    </w:p>
    <w:p w:rsidR="004B70A9" w:rsidRPr="004B70A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el hecho de a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signar nombres a las calles del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Departamento constituye un modo de rec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onstruir y reafirmar la memoria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histórica de una sociedad.</w:t>
      </w:r>
    </w:p>
    <w:p w:rsidR="004B70A9" w:rsidRPr="0004680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el establecimiento de nomenclaturas no sólo es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un elemento importante para el reordenamien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to del municipio, es además una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oportunidad para otorgarles reconocimi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ento a muchas personalidades de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nuestra historia nacional y local.</w:t>
      </w:r>
    </w:p>
    <w:p w:rsidR="004B70A9" w:rsidRPr="0004680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datos recien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tes, muestran que el 98% de las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calles del municipio tienen nombre propio asociado a la figura masculina.</w:t>
      </w:r>
    </w:p>
    <w:p w:rsidR="004B70A9" w:rsidRPr="00046809" w:rsidRDefault="004B70A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dicha dis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paridad nos exige y demanda una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 xml:space="preserve">intervención que permita incorporar 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la perspectiva de género en tan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significativa acción, ya que tanto la c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olocación de monumentos como la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selección de los nombres de las calles encierran</w:t>
      </w:r>
      <w:r w:rsidR="004B70A9">
        <w:rPr>
          <w:rFonts w:asciiTheme="majorHAnsi" w:hAnsiTheme="majorHAnsi" w:cs="Arial,Italic"/>
          <w:iCs/>
          <w:color w:val="000000"/>
          <w:lang w:eastAsia="es-AR"/>
        </w:rPr>
        <w:t xml:space="preserve"> una intencionalidad política -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histórica. Por medio de ello se busca que la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 población asimile mensajes, se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apropie de un lenguaje común e intern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alice valores que reafirmen una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identidad nacional.</w:t>
      </w:r>
    </w:p>
    <w:p w:rsidR="00AD69FE" w:rsidRPr="00046809" w:rsidRDefault="00AD69FE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Que, por lo anteriormente enunciado, es una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decisión estratégica empezar a incorpora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r un criterio de igualdad entre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hombres y mujeres al momento de asignar nombres a nuevas calles.</w:t>
      </w:r>
    </w:p>
    <w:p w:rsidR="00AD69FE" w:rsidRPr="00046809" w:rsidRDefault="00AD69FE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el señor Inten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dente de Godoy Cruz, Lic. Tadeo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Garcia Zalazar, ha manifestado en su discurs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o de aperturas de sesiones 2018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del Honorable Concejo Deliberante su intenc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ionalidad de generar nombres de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calles con personalidades femeninas a fin de establecer un mensaje claro y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 xml:space="preserve">contundente respecto a la política de </w:t>
      </w:r>
      <w:r w:rsidR="00AD69FE">
        <w:rPr>
          <w:rFonts w:asciiTheme="majorHAnsi" w:hAnsiTheme="majorHAnsi" w:cs="Arial,Italic"/>
          <w:iCs/>
          <w:color w:val="000000"/>
          <w:lang w:eastAsia="es-AR"/>
        </w:rPr>
        <w:t xml:space="preserve">equidad de género en nuestro en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Departamento.</w:t>
      </w:r>
    </w:p>
    <w:p w:rsidR="00AD69FE" w:rsidRPr="00046809" w:rsidRDefault="00AD69FE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en este sentido el Ejecutivo Municipal inicio el 8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de marzo Dia de la mujer, una acción concreta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dando visibilidad a calles con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nombre de mujer que solo están identificadas en la cartelería con su a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pellido,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en este caso en la calle “MANSO” se cam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bió la señalética por el nombre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completo de “Juana P. Manso”.</w:t>
      </w:r>
    </w:p>
    <w:p w:rsidR="0096561C" w:rsidRP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 w:rsidRPr="00046809">
        <w:rPr>
          <w:rFonts w:asciiTheme="majorHAnsi" w:hAnsiTheme="majorHAnsi" w:cs="Arial,Italic"/>
          <w:iCs/>
          <w:color w:val="000000"/>
          <w:lang w:eastAsia="es-AR"/>
        </w:rPr>
        <w:t>Que en ese sentido sostenemos que es un gesto de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equidad que cada nuevo desarrollo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urbano emplazado en Godoy Cruz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incorpore el mencionado criterio -en cuanto a señalamientos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se refiere- con el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objeto de iniciar un proceso de inclusión y</w:t>
      </w:r>
      <w:r w:rsidR="0096561C">
        <w:rPr>
          <w:rFonts w:asciiTheme="majorHAnsi" w:hAnsiTheme="majorHAnsi" w:cs="Arial,Italic"/>
          <w:iCs/>
          <w:color w:val="000000"/>
          <w:lang w:eastAsia="es-AR"/>
        </w:rPr>
        <w:t xml:space="preserve"> representación local de muchas </w:t>
      </w:r>
      <w:r w:rsidRPr="00046809">
        <w:rPr>
          <w:rFonts w:asciiTheme="majorHAnsi" w:hAnsiTheme="majorHAnsi" w:cs="Arial,Italic"/>
          <w:iCs/>
          <w:color w:val="000000"/>
          <w:lang w:eastAsia="es-AR"/>
        </w:rPr>
        <w:t>mujeres de nuestra historia en la memoria colectiva del Departamento.</w:t>
      </w:r>
    </w:p>
    <w:p w:rsidR="0096561C" w:rsidRP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 w:rsidRPr="0096561C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POR ELLO:</w:t>
      </w:r>
    </w:p>
    <w:p w:rsidR="0096561C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lang w:eastAsia="es-AR"/>
        </w:rPr>
        <w:t>EL HONORABLE CONCEJO DELIBERANTE DE GODOY CRUZ</w:t>
      </w: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HOJA Nº 02</w:t>
      </w: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 xml:space="preserve">ORDENANZA Nº </w:t>
      </w:r>
      <w:r w:rsidR="00CE1BD2"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6782</w:t>
      </w:r>
      <w:r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/18</w:t>
      </w: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96561C" w:rsidRDefault="0096561C" w:rsidP="0096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</w:p>
    <w:p w:rsidR="0096561C" w:rsidRPr="0096561C" w:rsidRDefault="0096561C" w:rsidP="00965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color w:val="000000"/>
          <w:u w:val="single"/>
          <w:lang w:eastAsia="es-AR"/>
        </w:rPr>
      </w:pPr>
      <w:r>
        <w:rPr>
          <w:rFonts w:asciiTheme="majorHAnsi" w:hAnsiTheme="majorHAnsi" w:cs="Cambria,Bold"/>
          <w:b/>
          <w:bCs/>
          <w:color w:val="000000"/>
          <w:u w:val="single"/>
          <w:lang w:eastAsia="es-AR"/>
        </w:rPr>
        <w:t>ORDENA</w:t>
      </w:r>
    </w:p>
    <w:p w:rsidR="00046809" w:rsidRPr="00046809" w:rsidRDefault="00046809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lang w:eastAsia="es-AR"/>
        </w:rPr>
      </w:pPr>
    </w:p>
    <w:p w:rsid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96561C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1°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96561C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Establézcase para la próxima urbanización barrial en el Departamento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de Godoy Cruz, posterior a la promulgación de la presente, la denominación de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las calles en un ciento por ciento (100%) con el nombre de mujeres destacadas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por su labor humanitaria, social, científica, política, artística o literaria, mujeres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notables (post mortem), entre otras.</w:t>
      </w:r>
    </w:p>
    <w:p w:rsidR="0096561C" w:rsidRP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96561C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2°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96561C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El Honorable Concejo Deliberante iniciara procesos participativos con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instituciones, uniones vecinales, organizaciones de la sociedad civil, Junta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Histórica de Godoy Cruz, Comisión de Género y Equidad del HCD,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Departamento de Mujer y Diversidad de Godoy Cruz, historiadoras/es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Independientes, y toda aquella institución que se considere pertinente, con el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objetivo de conformar una comisión u forma de participación que permitan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acercar nombres de calles que hagan refe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rencia a mujeres destacadas cuyo 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nombre sea propuesto con antecedentes, fundamentos y fuentes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documentales que justifiquen la solicitud.</w:t>
      </w:r>
    </w:p>
    <w:p w:rsidR="0096561C" w:rsidRP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96561C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96561C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3°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96561C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Crease en la Comisión de Género y Equidad el registro que contenga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los nombres de mujeres destacadas en la historia nacional y local que por su</w:t>
      </w:r>
      <w:r w:rsidR="004669A6"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labor, tarea y compromiso social ameriten ser tenidas en cuenta.</w:t>
      </w:r>
    </w:p>
    <w:p w:rsidR="004669A6" w:rsidRPr="00046809" w:rsidRDefault="004669A6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46809" w:rsidRDefault="004669A6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4669A6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4°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046809">
        <w:rPr>
          <w:rFonts w:asciiTheme="majorHAnsi" w:hAnsiTheme="majorHAnsi" w:cs="Arial,BoldItalic"/>
          <w:b/>
          <w:bCs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Remítase la nómina de mujeres destacadas y pre-seleccionadas para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ser asignadas a nombres de calles correspondientes al Ejecutivo Municipal a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fin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de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 xml:space="preserve"> que p</w:t>
      </w:r>
      <w:r>
        <w:rPr>
          <w:rFonts w:asciiTheme="majorHAnsi" w:hAnsiTheme="majorHAnsi" w:cs="Arial,Italic"/>
          <w:iCs/>
          <w:color w:val="000000"/>
          <w:lang w:eastAsia="es-AR"/>
        </w:rPr>
        <w:t>or el área correspondiente se dé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 xml:space="preserve"> revisión, control y asignación que se</w:t>
      </w:r>
      <w:r>
        <w:rPr>
          <w:rFonts w:asciiTheme="majorHAnsi" w:hAnsiTheme="majorHAnsi" w:cs="Arial,Italic"/>
          <w:iCs/>
          <w:color w:val="000000"/>
          <w:lang w:eastAsia="es-AR"/>
        </w:rPr>
        <w:t xml:space="preserve"> </w:t>
      </w:r>
      <w:r w:rsidR="00046809" w:rsidRPr="00046809">
        <w:rPr>
          <w:rFonts w:asciiTheme="majorHAnsi" w:hAnsiTheme="majorHAnsi" w:cs="Arial,Italic"/>
          <w:iCs/>
          <w:color w:val="000000"/>
          <w:lang w:eastAsia="es-AR"/>
        </w:rPr>
        <w:t>considere pertinente.</w:t>
      </w:r>
    </w:p>
    <w:p w:rsidR="004669A6" w:rsidRPr="00046809" w:rsidRDefault="004669A6" w:rsidP="00046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color w:val="000000"/>
          <w:lang w:eastAsia="es-AR"/>
        </w:rPr>
      </w:pPr>
    </w:p>
    <w:p w:rsidR="000F33C0" w:rsidRDefault="004669A6" w:rsidP="00046809">
      <w:pPr>
        <w:spacing w:after="0" w:line="240" w:lineRule="auto"/>
        <w:jc w:val="both"/>
        <w:rPr>
          <w:rFonts w:asciiTheme="majorHAnsi" w:hAnsiTheme="majorHAnsi" w:cs="Arial,BoldItalic"/>
          <w:bCs/>
          <w:iCs/>
          <w:color w:val="000000"/>
          <w:lang w:eastAsia="es-AR"/>
        </w:rPr>
      </w:pP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ARTICULO</w:t>
      </w:r>
      <w:r w:rsidR="00046809" w:rsidRPr="004669A6"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 xml:space="preserve"> 5°</w:t>
      </w:r>
      <w:r>
        <w:rPr>
          <w:rFonts w:asciiTheme="majorHAnsi" w:hAnsiTheme="majorHAnsi" w:cs="Arial,BoldItalic"/>
          <w:b/>
          <w:bCs/>
          <w:iCs/>
          <w:color w:val="000000"/>
          <w:u w:val="single"/>
          <w:lang w:eastAsia="es-AR"/>
        </w:rPr>
        <w:t>:</w:t>
      </w:r>
      <w:r w:rsidR="00046809" w:rsidRPr="00046809">
        <w:rPr>
          <w:rFonts w:asciiTheme="majorHAnsi" w:hAnsiTheme="majorHAnsi" w:cs="Arial,BoldItalic"/>
          <w:b/>
          <w:bCs/>
          <w:iCs/>
          <w:color w:val="000000"/>
          <w:lang w:eastAsia="es-AR"/>
        </w:rPr>
        <w:t xml:space="preserve"> </w:t>
      </w:r>
      <w:r>
        <w:rPr>
          <w:rFonts w:asciiTheme="majorHAnsi" w:hAnsiTheme="majorHAnsi" w:cs="Arial,BoldItalic"/>
          <w:bCs/>
          <w:iCs/>
          <w:color w:val="000000"/>
          <w:lang w:eastAsia="es-AR"/>
        </w:rPr>
        <w:t>Comuníquese al Departamento Ejecutivo, dése al registro municipal respectivo, publíquese y cumplido archívese.</w:t>
      </w:r>
    </w:p>
    <w:p w:rsidR="004669A6" w:rsidRPr="004669A6" w:rsidRDefault="004669A6" w:rsidP="00046809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0F33C0" w:rsidRDefault="000F33C0" w:rsidP="000F33C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</w:t>
      </w:r>
    </w:p>
    <w:p w:rsidR="000F33C0" w:rsidRPr="00037C58" w:rsidRDefault="000F33C0" w:rsidP="000F33C0">
      <w:pPr>
        <w:spacing w:line="240" w:lineRule="auto"/>
        <w:jc w:val="both"/>
        <w:rPr>
          <w:rFonts w:ascii="Cambria" w:hAnsi="Cambria"/>
          <w:b/>
        </w:rPr>
      </w:pPr>
      <w:r w:rsidRPr="00596723">
        <w:rPr>
          <w:rFonts w:ascii="Cambria" w:hAnsi="Cambria" w:cs="Century Gothic"/>
          <w:b/>
          <w:bCs/>
        </w:rPr>
        <w:t>DADA EN SES</w:t>
      </w:r>
      <w:r>
        <w:rPr>
          <w:rFonts w:ascii="Cambria" w:hAnsi="Cambria" w:cs="Century Gothic"/>
          <w:b/>
          <w:bCs/>
        </w:rPr>
        <w:t>ION ORDINARIA DEL DIA 02 DE MAYO</w:t>
      </w:r>
      <w:r w:rsidRPr="00596723">
        <w:rPr>
          <w:rFonts w:ascii="Cambria" w:hAnsi="Cambria" w:cs="Century Gothic"/>
          <w:b/>
          <w:bCs/>
        </w:rPr>
        <w:t xml:space="preserve"> DEL AÑO DOS MIL DIECIOCHO</w:t>
      </w:r>
    </w:p>
    <w:p w:rsidR="000F33C0" w:rsidRDefault="000F33C0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Pr="0009687B" w:rsidRDefault="0009687B" w:rsidP="0009687B"/>
    <w:p w:rsidR="0009687B" w:rsidRDefault="0009687B" w:rsidP="0009687B"/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46809">
      <w:headerReference w:type="default" r:id="rId7"/>
      <w:footerReference w:type="default" r:id="rId8"/>
      <w:pgSz w:w="11906" w:h="16838" w:code="9"/>
      <w:pgMar w:top="1417" w:right="1701" w:bottom="141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1F" w:rsidRDefault="003B171F" w:rsidP="00454243">
      <w:pPr>
        <w:spacing w:after="0" w:line="240" w:lineRule="auto"/>
      </w:pPr>
      <w:r>
        <w:separator/>
      </w:r>
    </w:p>
  </w:endnote>
  <w:endnote w:type="continuationSeparator" w:id="1">
    <w:p w:rsidR="003B171F" w:rsidRDefault="003B171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1609B7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fit-shape-to-text:t">
            <w:txbxContent>
              <w:p w:rsidR="00454243" w:rsidRPr="00F91F8A" w:rsidRDefault="00452ADC" w:rsidP="00CB110A">
                <w:pPr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CB110A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fit-shape-to-text:t">
            <w:txbxContent>
              <w:p w:rsidR="00950DFB" w:rsidRPr="0009687B" w:rsidRDefault="002803DB" w:rsidP="00E812E5">
                <w:pPr>
                  <w:spacing w:after="0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Secretaria Administrativa</w:t>
                </w:r>
              </w:p>
              <w:p w:rsidR="00454243" w:rsidRPr="00CC124D" w:rsidRDefault="007D1161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1F" w:rsidRDefault="003B171F" w:rsidP="00454243">
      <w:pPr>
        <w:spacing w:after="0" w:line="240" w:lineRule="auto"/>
      </w:pPr>
      <w:r>
        <w:separator/>
      </w:r>
    </w:p>
  </w:footnote>
  <w:footnote w:type="continuationSeparator" w:id="1">
    <w:p w:rsidR="003B171F" w:rsidRDefault="003B171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1609B7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2E5DD4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46809"/>
    <w:rsid w:val="0009687B"/>
    <w:rsid w:val="000F33C0"/>
    <w:rsid w:val="00121D96"/>
    <w:rsid w:val="001402FD"/>
    <w:rsid w:val="001609B7"/>
    <w:rsid w:val="0016661F"/>
    <w:rsid w:val="002753E0"/>
    <w:rsid w:val="002803DB"/>
    <w:rsid w:val="002E5DD4"/>
    <w:rsid w:val="00315D70"/>
    <w:rsid w:val="00373DF4"/>
    <w:rsid w:val="003B171F"/>
    <w:rsid w:val="00452ADC"/>
    <w:rsid w:val="00454243"/>
    <w:rsid w:val="004669A6"/>
    <w:rsid w:val="004B70A9"/>
    <w:rsid w:val="005559BD"/>
    <w:rsid w:val="005944B6"/>
    <w:rsid w:val="005E24B5"/>
    <w:rsid w:val="006C32D2"/>
    <w:rsid w:val="007C4AE1"/>
    <w:rsid w:val="007D1161"/>
    <w:rsid w:val="007F280F"/>
    <w:rsid w:val="00833685"/>
    <w:rsid w:val="008D414E"/>
    <w:rsid w:val="008E715C"/>
    <w:rsid w:val="00950DFB"/>
    <w:rsid w:val="0096561C"/>
    <w:rsid w:val="009B0A39"/>
    <w:rsid w:val="00A177F4"/>
    <w:rsid w:val="00AD69FE"/>
    <w:rsid w:val="00BC214E"/>
    <w:rsid w:val="00C257B4"/>
    <w:rsid w:val="00C409D2"/>
    <w:rsid w:val="00C47183"/>
    <w:rsid w:val="00CB110A"/>
    <w:rsid w:val="00CB7787"/>
    <w:rsid w:val="00CC124D"/>
    <w:rsid w:val="00CE1BD2"/>
    <w:rsid w:val="00E670C6"/>
    <w:rsid w:val="00E812E5"/>
    <w:rsid w:val="00EF25D2"/>
    <w:rsid w:val="00F9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3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793E-82D4-4C3C-B659-07E522D2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placave</cp:lastModifiedBy>
  <cp:revision>2</cp:revision>
  <cp:lastPrinted>2018-05-03T13:31:00Z</cp:lastPrinted>
  <dcterms:created xsi:type="dcterms:W3CDTF">2018-05-03T13:32:00Z</dcterms:created>
  <dcterms:modified xsi:type="dcterms:W3CDTF">2018-05-03T13:32:00Z</dcterms:modified>
</cp:coreProperties>
</file>