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lang w:eastAsia="es-AR"/>
        </w:rPr>
      </w:pPr>
    </w:p>
    <w:p w:rsidR="00046809" w:rsidRP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u w:val="single"/>
          <w:lang w:eastAsia="es-AR"/>
        </w:rPr>
      </w:pPr>
      <w:r>
        <w:rPr>
          <w:rFonts w:asciiTheme="majorHAnsi" w:hAnsiTheme="majorHAnsi" w:cs="Calibri,Bold"/>
          <w:b/>
          <w:bCs/>
          <w:color w:val="000000"/>
          <w:u w:val="single"/>
          <w:lang w:eastAsia="es-AR"/>
        </w:rPr>
        <w:t xml:space="preserve">ORDENANZA Nº </w:t>
      </w:r>
      <w:r w:rsidR="00E34C0D">
        <w:rPr>
          <w:rFonts w:asciiTheme="majorHAnsi" w:hAnsiTheme="majorHAnsi" w:cs="Calibri,Bold"/>
          <w:b/>
          <w:bCs/>
          <w:color w:val="000000"/>
          <w:u w:val="single"/>
          <w:lang w:eastAsia="es-AR"/>
        </w:rPr>
        <w:t>6781</w:t>
      </w:r>
      <w:r>
        <w:rPr>
          <w:rFonts w:asciiTheme="majorHAnsi" w:hAnsiTheme="majorHAnsi" w:cs="Calibri,Bold"/>
          <w:b/>
          <w:bCs/>
          <w:color w:val="000000"/>
          <w:u w:val="single"/>
          <w:lang w:eastAsia="es-AR"/>
        </w:rPr>
        <w:t>/18</w:t>
      </w: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 w:rsidRPr="004B70A9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VISTO:</w:t>
      </w:r>
    </w:p>
    <w:p w:rsidR="00D32256" w:rsidRPr="004B70A9" w:rsidRDefault="00D32256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046809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es-AR"/>
        </w:rPr>
      </w:pPr>
      <w:r>
        <w:rPr>
          <w:rFonts w:ascii="Cambria" w:hAnsi="Cambria" w:cs="Cambria"/>
          <w:lang w:eastAsia="es-AR"/>
        </w:rPr>
        <w:t>El Expediente Nº 5808-H-2017, caratulado: “BLOQUE FRENTE CAMBIA MENDOZA -  CONCEJAL SANCHEZ</w:t>
      </w:r>
      <w:r w:rsidR="00582C15">
        <w:rPr>
          <w:rFonts w:ascii="Cambria" w:hAnsi="Cambria" w:cs="Cambria"/>
          <w:lang w:eastAsia="es-AR"/>
        </w:rPr>
        <w:t xml:space="preserve"> MARCOS</w:t>
      </w:r>
      <w:r>
        <w:rPr>
          <w:rFonts w:ascii="Cambria" w:hAnsi="Cambria" w:cs="Cambria"/>
          <w:lang w:eastAsia="es-AR"/>
        </w:rPr>
        <w:t xml:space="preserve"> - S/ESTABLECER USO DE TEXTO NO A LA VIOLENCIA DE GENERO NI UNA MENOS LLAMA AL 144 LINEA GRATUITA LAS 24 HS LOS 365 DIAS DEL AÑO”, y</w:t>
      </w:r>
    </w:p>
    <w:p w:rsidR="00046809" w:rsidRP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 w:rsidRPr="004B70A9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CONSIDERANDO:</w:t>
      </w:r>
    </w:p>
    <w:p w:rsidR="004B70A9" w:rsidRPr="004B70A9" w:rsidRDefault="004B70A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D32256">
        <w:rPr>
          <w:rFonts w:asciiTheme="majorHAnsi" w:hAnsiTheme="majorHAnsi" w:cs="Calibri"/>
          <w:lang w:eastAsia="es-AR"/>
        </w:rPr>
        <w:t>Que a través de estas actuaciones, el Concejal Marcos Sánchez eleva un proyecto sobre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establecer el uso obligatorio de la leyenda “No a la violencia de género. Ni una menos. Llamá al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144, línea gratuita, las 24 hs. los 365 días del año” en t</w:t>
      </w:r>
      <w:r>
        <w:rPr>
          <w:rFonts w:asciiTheme="majorHAnsi" w:hAnsiTheme="majorHAnsi" w:cs="Calibri"/>
          <w:lang w:eastAsia="es-AR"/>
        </w:rPr>
        <w:t>oda la documentación emiti</w:t>
      </w:r>
      <w:r w:rsidRPr="00D32256">
        <w:rPr>
          <w:rFonts w:asciiTheme="majorHAnsi" w:hAnsiTheme="majorHAnsi" w:cs="Calibri"/>
          <w:lang w:eastAsia="es-AR"/>
        </w:rPr>
        <w:t>da por esta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Municipalidad (boletas correspondientes a la Tasa Municipal y Mantenimiento Urbano, recibos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de sueldos del personal municipal, notas externas etc.</w:t>
      </w:r>
    </w:p>
    <w:p w:rsidR="00D32256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D32256">
        <w:rPr>
          <w:rFonts w:asciiTheme="majorHAnsi" w:hAnsiTheme="majorHAnsi" w:cs="Calibri"/>
          <w:lang w:eastAsia="es-AR"/>
        </w:rPr>
        <w:t>Que la violencia de género ha tomado un rol central en la agenda pública, ya que desde la</w:t>
      </w:r>
      <w:r>
        <w:rPr>
          <w:rFonts w:asciiTheme="majorHAnsi" w:hAnsiTheme="majorHAnsi" w:cs="Calibri"/>
          <w:lang w:eastAsia="es-AR"/>
        </w:rPr>
        <w:t xml:space="preserve"> perspecti</w:t>
      </w:r>
      <w:r w:rsidRPr="00D32256">
        <w:rPr>
          <w:rFonts w:asciiTheme="majorHAnsi" w:hAnsiTheme="majorHAnsi" w:cs="Calibri"/>
          <w:lang w:eastAsia="es-AR"/>
        </w:rPr>
        <w:t>va social, la expresión más extrema es la desigualdad de género que se expresa en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diferentes ámbitos de la vida: educación, economía, salud, trabajo, modo en que los medios de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comunicación consideran a mujeres y hombres, entre otros.</w:t>
      </w:r>
    </w:p>
    <w:p w:rsidR="00D32256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D32256">
        <w:rPr>
          <w:rFonts w:asciiTheme="majorHAnsi" w:hAnsiTheme="majorHAnsi" w:cs="Calibri"/>
          <w:lang w:eastAsia="es-AR"/>
        </w:rPr>
        <w:t>Que esta desig</w:t>
      </w:r>
      <w:r>
        <w:rPr>
          <w:rFonts w:asciiTheme="majorHAnsi" w:hAnsiTheme="majorHAnsi" w:cs="Calibri"/>
          <w:lang w:eastAsia="es-AR"/>
        </w:rPr>
        <w:t>ualdad de género, la violencia fí</w:t>
      </w:r>
      <w:r w:rsidRPr="00D32256">
        <w:rPr>
          <w:rFonts w:asciiTheme="majorHAnsi" w:hAnsiTheme="majorHAnsi" w:cs="Calibri"/>
          <w:lang w:eastAsia="es-AR"/>
        </w:rPr>
        <w:t>sica y/o psicológica contra la mujer es la más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preocupante y movilizadora, afectando a todos los sectores sociales.</w:t>
      </w:r>
    </w:p>
    <w:p w:rsidR="00D32256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>
        <w:rPr>
          <w:rFonts w:asciiTheme="majorHAnsi" w:hAnsiTheme="majorHAnsi" w:cs="Calibri"/>
          <w:lang w:eastAsia="es-AR"/>
        </w:rPr>
        <w:t>Que se remiti</w:t>
      </w:r>
      <w:r w:rsidRPr="00D32256">
        <w:rPr>
          <w:rFonts w:asciiTheme="majorHAnsi" w:hAnsiTheme="majorHAnsi" w:cs="Calibri"/>
          <w:lang w:eastAsia="es-AR"/>
        </w:rPr>
        <w:t>eron las presentes actua</w:t>
      </w:r>
      <w:r>
        <w:rPr>
          <w:rFonts w:asciiTheme="majorHAnsi" w:hAnsiTheme="majorHAnsi" w:cs="Calibri"/>
          <w:lang w:eastAsia="es-AR"/>
        </w:rPr>
        <w:t>ciones al Departamento Ejecutivo para que este emiti</w:t>
      </w:r>
      <w:r w:rsidRPr="00D32256">
        <w:rPr>
          <w:rFonts w:asciiTheme="majorHAnsi" w:hAnsiTheme="majorHAnsi" w:cs="Calibri"/>
          <w:lang w:eastAsia="es-AR"/>
        </w:rPr>
        <w:t>era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opinión al respecto.</w:t>
      </w:r>
    </w:p>
    <w:p w:rsidR="00D32256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D32256">
        <w:rPr>
          <w:rFonts w:asciiTheme="majorHAnsi" w:hAnsiTheme="majorHAnsi" w:cs="Calibri"/>
          <w:lang w:eastAsia="es-AR"/>
        </w:rPr>
        <w:t>Que a fs. 09, Direcci</w:t>
      </w:r>
      <w:r>
        <w:rPr>
          <w:rFonts w:asciiTheme="majorHAnsi" w:hAnsiTheme="majorHAnsi" w:cs="Calibri"/>
          <w:lang w:eastAsia="es-AR"/>
        </w:rPr>
        <w:t>ón de Rentas informa que es facti</w:t>
      </w:r>
      <w:r w:rsidRPr="00D32256">
        <w:rPr>
          <w:rFonts w:asciiTheme="majorHAnsi" w:hAnsiTheme="majorHAnsi" w:cs="Calibri"/>
          <w:lang w:eastAsia="es-AR"/>
        </w:rPr>
        <w:t>ble incluir en las boletas de tasas</w:t>
      </w:r>
      <w:r>
        <w:rPr>
          <w:rFonts w:asciiTheme="majorHAnsi" w:hAnsiTheme="majorHAnsi" w:cs="Calibri"/>
          <w:lang w:eastAsia="es-AR"/>
        </w:rPr>
        <w:t xml:space="preserve"> </w:t>
      </w:r>
      <w:r w:rsidRPr="00D32256">
        <w:rPr>
          <w:rFonts w:asciiTheme="majorHAnsi" w:hAnsiTheme="majorHAnsi" w:cs="Calibri"/>
          <w:lang w:eastAsia="es-AR"/>
        </w:rPr>
        <w:t>mun</w:t>
      </w:r>
      <w:r>
        <w:rPr>
          <w:rFonts w:asciiTheme="majorHAnsi" w:hAnsiTheme="majorHAnsi" w:cs="Calibri"/>
          <w:lang w:eastAsia="es-AR"/>
        </w:rPr>
        <w:t>icipales la leyenda mencionada.</w:t>
      </w:r>
    </w:p>
    <w:p w:rsidR="00D32256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96561C" w:rsidRPr="00D32256" w:rsidRDefault="00D32256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>
        <w:rPr>
          <w:rFonts w:asciiTheme="majorHAnsi" w:hAnsiTheme="majorHAnsi" w:cs="Calibri"/>
          <w:lang w:eastAsia="es-AR"/>
        </w:rPr>
        <w:t>Que atento a lo expuesto se esti</w:t>
      </w:r>
      <w:r w:rsidRPr="00D32256">
        <w:rPr>
          <w:rFonts w:asciiTheme="majorHAnsi" w:hAnsiTheme="majorHAnsi" w:cs="Calibri"/>
          <w:lang w:eastAsia="es-AR"/>
        </w:rPr>
        <w:t>ma procedente sancionar la ordenanza correspondiente.</w:t>
      </w:r>
    </w:p>
    <w:p w:rsidR="0096561C" w:rsidRP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 w:rsidRPr="0096561C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POR ELLO:</w:t>
      </w:r>
    </w:p>
    <w:p w:rsidR="0096561C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96561C" w:rsidRPr="00D32256" w:rsidRDefault="0096561C" w:rsidP="00D3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  <w:r>
        <w:rPr>
          <w:rFonts w:asciiTheme="majorHAnsi" w:hAnsiTheme="majorHAnsi" w:cs="Cambria,Bold"/>
          <w:b/>
          <w:bCs/>
          <w:color w:val="000000"/>
          <w:lang w:eastAsia="es-AR"/>
        </w:rPr>
        <w:t>EL HONORABLE CONCEJO DELIBERANTE DE GODOY CRUZ</w:t>
      </w: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96561C" w:rsidRP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ORDENA</w:t>
      </w:r>
    </w:p>
    <w:p w:rsidR="00046809" w:rsidRPr="00F94831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lang w:eastAsia="es-AR"/>
        </w:rPr>
      </w:pPr>
    </w:p>
    <w:p w:rsidR="00046809" w:rsidRPr="00F94831" w:rsidRDefault="0096561C" w:rsidP="00D3225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es-AR"/>
        </w:rPr>
      </w:pPr>
      <w:r w:rsidRPr="00F94831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046809" w:rsidRPr="00F94831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1°</w:t>
      </w:r>
      <w:r w:rsidRPr="00F94831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F94831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D32256" w:rsidRPr="00F94831">
        <w:rPr>
          <w:rFonts w:ascii="Cambria" w:hAnsi="Cambria" w:cs="Cambria"/>
          <w:lang w:eastAsia="es-AR"/>
        </w:rPr>
        <w:t xml:space="preserve">Dispóngase la obligatoriedad del uso de la leyenda </w:t>
      </w:r>
      <w:r w:rsidR="00D32256" w:rsidRPr="00F94831">
        <w:rPr>
          <w:rFonts w:ascii="Cambria" w:hAnsi="Cambria" w:cs="Cambria"/>
          <w:b/>
          <w:lang w:eastAsia="es-AR"/>
        </w:rPr>
        <w:t xml:space="preserve">“No a la violencia de género. Ni una Menos. Llamá al 144, lı́nea gratuita las 24 hs. Los 365 dı́as del año” </w:t>
      </w:r>
      <w:r w:rsidR="00D32256" w:rsidRPr="00F94831">
        <w:rPr>
          <w:rFonts w:ascii="Cambria" w:hAnsi="Cambria" w:cs="Cambria"/>
          <w:lang w:eastAsia="es-AR"/>
        </w:rPr>
        <w:t>en las boletas de tasas municipales emitidas por la Municipalidad de Godoy Cruz.</w:t>
      </w:r>
    </w:p>
    <w:p w:rsidR="004669A6" w:rsidRPr="00046809" w:rsidRDefault="004669A6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F33C0" w:rsidRDefault="004669A6" w:rsidP="00046809">
      <w:pPr>
        <w:spacing w:after="0" w:line="240" w:lineRule="auto"/>
        <w:jc w:val="both"/>
        <w:rPr>
          <w:rFonts w:asciiTheme="majorHAnsi" w:hAnsiTheme="majorHAnsi" w:cs="Arial,BoldItalic"/>
          <w:bCs/>
          <w:iCs/>
          <w:color w:val="000000"/>
          <w:lang w:eastAsia="es-AR"/>
        </w:rPr>
      </w:pP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D32256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2</w:t>
      </w:r>
      <w:r w:rsidR="00046809" w:rsidRPr="004669A6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°</w:t>
      </w: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046809">
        <w:rPr>
          <w:rFonts w:asciiTheme="majorHAnsi" w:hAnsiTheme="majorHAnsi" w:cs="Arial,BoldItalic"/>
          <w:b/>
          <w:bCs/>
          <w:iCs/>
          <w:color w:val="000000"/>
          <w:lang w:eastAsia="es-AR"/>
        </w:rPr>
        <w:t xml:space="preserve"> </w:t>
      </w:r>
      <w:r>
        <w:rPr>
          <w:rFonts w:asciiTheme="majorHAnsi" w:hAnsiTheme="majorHAnsi" w:cs="Arial,BoldItalic"/>
          <w:bCs/>
          <w:iCs/>
          <w:color w:val="000000"/>
          <w:lang w:eastAsia="es-AR"/>
        </w:rPr>
        <w:t>Comuníquese al Departamento Ejecutivo, dése al registro municipal respectivo, publíquese y cumplido archívese.</w:t>
      </w:r>
    </w:p>
    <w:p w:rsidR="004669A6" w:rsidRPr="004669A6" w:rsidRDefault="004669A6" w:rsidP="00046809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0F33C0" w:rsidRDefault="000F33C0" w:rsidP="000F33C0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PL</w:t>
      </w:r>
    </w:p>
    <w:p w:rsidR="000F33C0" w:rsidRPr="00037C58" w:rsidRDefault="000F33C0" w:rsidP="000F33C0">
      <w:pPr>
        <w:spacing w:line="240" w:lineRule="auto"/>
        <w:jc w:val="both"/>
        <w:rPr>
          <w:rFonts w:ascii="Cambria" w:hAnsi="Cambria"/>
          <w:b/>
        </w:rPr>
      </w:pPr>
      <w:r w:rsidRPr="00596723">
        <w:rPr>
          <w:rFonts w:ascii="Cambria" w:hAnsi="Cambria" w:cs="Century Gothic"/>
          <w:b/>
          <w:bCs/>
        </w:rPr>
        <w:t>DADA EN SES</w:t>
      </w:r>
      <w:r>
        <w:rPr>
          <w:rFonts w:ascii="Cambria" w:hAnsi="Cambria" w:cs="Century Gothic"/>
          <w:b/>
          <w:bCs/>
        </w:rPr>
        <w:t>ION ORDINARIA DEL DIA 02 DE MAYO</w:t>
      </w:r>
      <w:r w:rsidRPr="00596723">
        <w:rPr>
          <w:rFonts w:ascii="Cambria" w:hAnsi="Cambria" w:cs="Century Gothic"/>
          <w:b/>
          <w:bCs/>
        </w:rPr>
        <w:t xml:space="preserve"> DEL AÑO DOS MIL DIECIOCHO</w:t>
      </w:r>
    </w:p>
    <w:p w:rsidR="00315D70" w:rsidRPr="0009687B" w:rsidRDefault="0009687B" w:rsidP="0009687B">
      <w:pPr>
        <w:tabs>
          <w:tab w:val="left" w:pos="1290"/>
        </w:tabs>
      </w:pPr>
      <w:r>
        <w:tab/>
      </w:r>
    </w:p>
    <w:sectPr w:rsidR="00315D70" w:rsidRPr="0009687B" w:rsidSect="00046809">
      <w:headerReference w:type="default" r:id="rId7"/>
      <w:footerReference w:type="default" r:id="rId8"/>
      <w:pgSz w:w="11906" w:h="16838" w:code="9"/>
      <w:pgMar w:top="1417" w:right="1701" w:bottom="1417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F6" w:rsidRDefault="007418F6" w:rsidP="00454243">
      <w:pPr>
        <w:spacing w:after="0" w:line="240" w:lineRule="auto"/>
      </w:pPr>
      <w:r>
        <w:separator/>
      </w:r>
    </w:p>
  </w:endnote>
  <w:endnote w:type="continuationSeparator" w:id="1">
    <w:p w:rsidR="007418F6" w:rsidRDefault="007418F6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3" w:rsidRDefault="00FA04E2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0.7pt;margin-top:-11.95pt;width:131.25pt;height:26.35pt;z-index:25165670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" filled="f" stroked="f">
          <v:textbox style="mso-fit-shape-to-text:t">
            <w:txbxContent>
              <w:p w:rsidR="00CB110A" w:rsidRPr="00A177F4" w:rsidRDefault="00CB110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7F4">
                  <w:rPr>
                    <w:rFonts w:ascii="Arial" w:hAnsi="Arial" w:cs="Arial"/>
                    <w:b/>
                    <w:sz w:val="18"/>
                    <w:szCs w:val="18"/>
                  </w:rPr>
                  <w:t>www.godoycruz.gob.ar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shape id="_x0000_s4098" type="#_x0000_t202" style="position:absolute;margin-left:155.45pt;margin-top:-11.95pt;width:161.25pt;height:29.55pt;z-index:251655680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" filled="f" stroked="f">
          <v:textbox style="mso-fit-shape-to-text:t">
            <w:txbxContent>
              <w:p w:rsidR="00454243" w:rsidRPr="00F91F8A" w:rsidRDefault="00452ADC" w:rsidP="00CB110A">
                <w:pPr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Rivadavia 448</w:t>
                </w:r>
                <w:r w:rsidR="00CB110A"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>- Godoy Cruz</w:t>
                </w:r>
              </w:p>
              <w:p w:rsidR="00CB110A" w:rsidRPr="00F91F8A" w:rsidRDefault="00CB110A" w:rsidP="00CB110A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+54-261- </w:t>
                </w:r>
                <w:r w:rsidR="00950DFB">
                  <w:rPr>
                    <w:rFonts w:ascii="Arial" w:hAnsi="Arial" w:cs="Arial"/>
                    <w:b/>
                    <w:sz w:val="18"/>
                    <w:szCs w:val="18"/>
                  </w:rPr>
                  <w:t>4133051/53</w:t>
                </w:r>
              </w:p>
            </w:txbxContent>
          </v:textbox>
          <w10:wrap type="square" anchorx="margin"/>
        </v:shape>
      </w:pict>
    </w:r>
    <w:r>
      <w:rPr>
        <w:noProof/>
        <w:lang w:eastAsia="es-AR"/>
      </w:rPr>
      <w:pict>
        <v:shape id="Cuadro de texto 2" o:spid="_x0000_s4099" type="#_x0000_t202" style="position:absolute;margin-left:-28.05pt;margin-top:-17.95pt;width:149.25pt;height:40.7pt;z-index:25165465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OFwIAAAU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" filled="f" stroked="f">
          <v:textbox style="mso-fit-shape-to-text:t">
            <w:txbxContent>
              <w:p w:rsidR="00950DFB" w:rsidRPr="0009687B" w:rsidRDefault="002803DB" w:rsidP="00E812E5">
                <w:pPr>
                  <w:spacing w:after="0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Secretaria Administrativa</w:t>
                </w:r>
              </w:p>
              <w:p w:rsidR="00454243" w:rsidRPr="00CC124D" w:rsidRDefault="007D1161" w:rsidP="00E812E5">
                <w:pPr>
                  <w:spacing w:after="0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HCD</w:t>
                </w:r>
              </w:p>
              <w:p w:rsidR="00A177F4" w:rsidRPr="00CC124D" w:rsidRDefault="00A177F4" w:rsidP="00E812E5">
                <w:pPr>
                  <w:spacing w:after="0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 w:rsidRPr="00CC124D"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Municipalidad de Godoy Cruz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line id="Conector recto 20" o:spid="_x0000_s4101" style="position:absolute;flip:x;z-index:251657728;visibility:visible;mso-width-relative:margin;mso-height-relative:margin" from="142.2pt,2.3pt" to="142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" strokecolor="#606" strokeweight="1.25pt">
          <v:stroke joinstyle="miter"/>
        </v:line>
      </w:pict>
    </w:r>
    <w:r>
      <w:rPr>
        <w:noProof/>
        <w:lang w:eastAsia="es-AR"/>
      </w:rPr>
      <w:pict>
        <v:line id="Conector recto 21" o:spid="_x0000_s4100" style="position:absolute;flip:x;z-index:251658752;visibility:visible;mso-width-relative:margin;mso-height-relative:margin" from="332.7pt,1.55pt" to="332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" strokecolor="#606" strokeweight="1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F6" w:rsidRDefault="007418F6" w:rsidP="00454243">
      <w:pPr>
        <w:spacing w:after="0" w:line="240" w:lineRule="auto"/>
      </w:pPr>
      <w:r>
        <w:separator/>
      </w:r>
    </w:p>
  </w:footnote>
  <w:footnote w:type="continuationSeparator" w:id="1">
    <w:p w:rsidR="007418F6" w:rsidRDefault="007418F6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6" w:rsidRDefault="00FA04E2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102" type="#_x0000_t202" style="position:absolute;margin-left:-42.3pt;margin-top:19.3pt;width:254.25pt;height:33.5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YREAIAAPkDAAAOAAAAZHJzL2Uyb0RvYy54bWysU9uO2yAQfa/Uf0C8N3ZcZz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" filled="f" stroked="f">
          <v:textbox>
            <w:txbxContent>
              <w:p w:rsidR="005944B6" w:rsidRDefault="005944B6" w:rsidP="005944B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“Año del Centenario de la Reforma Universitaria:</w:t>
                </w:r>
              </w:p>
              <w:p w:rsidR="005944B6" w:rsidRDefault="005944B6" w:rsidP="005944B6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Los dolores que nos quedan son libertades que nos faltan”</w:t>
                </w:r>
              </w:p>
            </w:txbxContent>
          </v:textbox>
          <w10:wrap type="square" anchorx="margin"/>
        </v:shape>
      </w:pict>
    </w:r>
    <w:r w:rsidR="002E5DD4">
      <w:rPr>
        <w:noProof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1905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:rsidR="005944B6" w:rsidRDefault="005944B6" w:rsidP="005944B6">
    <w:pPr>
      <w:pStyle w:val="Encabezado"/>
    </w:pPr>
  </w:p>
  <w:p w:rsidR="00A177F4" w:rsidRDefault="00A1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243"/>
    <w:rsid w:val="0000231E"/>
    <w:rsid w:val="000028CE"/>
    <w:rsid w:val="00046809"/>
    <w:rsid w:val="0009687B"/>
    <w:rsid w:val="000F33C0"/>
    <w:rsid w:val="00121D96"/>
    <w:rsid w:val="001402FD"/>
    <w:rsid w:val="0016661F"/>
    <w:rsid w:val="002753E0"/>
    <w:rsid w:val="002803DB"/>
    <w:rsid w:val="002E5DD4"/>
    <w:rsid w:val="00315D70"/>
    <w:rsid w:val="00373DF4"/>
    <w:rsid w:val="003B4858"/>
    <w:rsid w:val="00452ADC"/>
    <w:rsid w:val="00454243"/>
    <w:rsid w:val="004669A6"/>
    <w:rsid w:val="004B70A9"/>
    <w:rsid w:val="005559BD"/>
    <w:rsid w:val="00582C15"/>
    <w:rsid w:val="005944B6"/>
    <w:rsid w:val="005E24B5"/>
    <w:rsid w:val="006C32D2"/>
    <w:rsid w:val="007406B4"/>
    <w:rsid w:val="007418F6"/>
    <w:rsid w:val="007C4AE1"/>
    <w:rsid w:val="007D1161"/>
    <w:rsid w:val="007F280F"/>
    <w:rsid w:val="008D414E"/>
    <w:rsid w:val="008E715C"/>
    <w:rsid w:val="00950DFB"/>
    <w:rsid w:val="0096561C"/>
    <w:rsid w:val="009B0A39"/>
    <w:rsid w:val="00A177F4"/>
    <w:rsid w:val="00AD69FE"/>
    <w:rsid w:val="00B86376"/>
    <w:rsid w:val="00BC214E"/>
    <w:rsid w:val="00C257B4"/>
    <w:rsid w:val="00C409D2"/>
    <w:rsid w:val="00C47183"/>
    <w:rsid w:val="00C640DD"/>
    <w:rsid w:val="00CB110A"/>
    <w:rsid w:val="00CB7787"/>
    <w:rsid w:val="00CC124D"/>
    <w:rsid w:val="00D103B7"/>
    <w:rsid w:val="00D32256"/>
    <w:rsid w:val="00DC27CA"/>
    <w:rsid w:val="00E34C0D"/>
    <w:rsid w:val="00E670C6"/>
    <w:rsid w:val="00E812E5"/>
    <w:rsid w:val="00EF25D2"/>
    <w:rsid w:val="00F91F8A"/>
    <w:rsid w:val="00F94831"/>
    <w:rsid w:val="00FA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3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79C5-E54B-463A-BC42-D3C03D5D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placave</cp:lastModifiedBy>
  <cp:revision>3</cp:revision>
  <cp:lastPrinted>2018-05-03T14:00:00Z</cp:lastPrinted>
  <dcterms:created xsi:type="dcterms:W3CDTF">2018-05-03T13:40:00Z</dcterms:created>
  <dcterms:modified xsi:type="dcterms:W3CDTF">2018-05-03T14:01:00Z</dcterms:modified>
</cp:coreProperties>
</file>